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1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4"/>
        <w:gridCol w:w="2288"/>
        <w:gridCol w:w="285"/>
        <w:gridCol w:w="1859"/>
        <w:gridCol w:w="2286"/>
        <w:gridCol w:w="1859"/>
      </w:tblGrid>
      <w:tr w:rsidR="00601840" w:rsidTr="006B1AA1">
        <w:trPr>
          <w:trHeight w:val="379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 w:rsidP="00AB5DA2">
            <w:pPr>
              <w:spacing w:after="0" w:line="240" w:lineRule="auto"/>
            </w:pPr>
            <w:bookmarkStart w:id="0" w:name="OLE_LINK1"/>
            <w:r>
              <w:t xml:space="preserve">Nazwa </w:t>
            </w:r>
            <w:r w:rsidR="00AB5DA2">
              <w:t>przedmiotu</w:t>
            </w:r>
          </w:p>
        </w:tc>
        <w:tc>
          <w:tcPr>
            <w:tcW w:w="6718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  <w:sz w:val="20"/>
              </w:rPr>
              <w:t>Badminton rekreacyjny</w:t>
            </w: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color w:val="000000"/>
              </w:rPr>
              <w:t>ECTS</w:t>
            </w:r>
            <w:r>
              <w:rPr>
                <w:rStyle w:val="Tekstzastpczy"/>
              </w:rPr>
              <w:t xml:space="preserve">: </w:t>
            </w:r>
            <w:r>
              <w:rPr>
                <w:rStyle w:val="Tekstzastpczy"/>
                <w:color w:val="auto"/>
              </w:rPr>
              <w:t>2</w:t>
            </w:r>
          </w:p>
        </w:tc>
      </w:tr>
      <w:tr w:rsidR="00601840" w:rsidTr="006B1AA1">
        <w:trPr>
          <w:trHeight w:val="373"/>
        </w:trPr>
        <w:tc>
          <w:tcPr>
            <w:tcW w:w="4717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Wydział: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b/>
              </w:rPr>
              <w:t>Wydział Wychowania Fizycznego</w:t>
            </w:r>
          </w:p>
        </w:tc>
        <w:tc>
          <w:tcPr>
            <w:tcW w:w="6004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ind w:right="-142"/>
            </w:pPr>
            <w:r>
              <w:rPr>
                <w:b/>
                <w:bCs/>
                <w:sz w:val="24"/>
                <w:szCs w:val="24"/>
              </w:rPr>
              <w:t>Kierunek</w:t>
            </w:r>
            <w:r>
              <w:t>: Turystyka i rekreacja</w:t>
            </w:r>
          </w:p>
        </w:tc>
      </w:tr>
      <w:tr w:rsidR="00601840" w:rsidTr="006B1AA1">
        <w:trPr>
          <w:trHeight w:val="263"/>
        </w:trPr>
        <w:tc>
          <w:tcPr>
            <w:tcW w:w="6576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Nazwa jednostki prowadzącej grupę zajęć: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Rok: II</w:t>
            </w:r>
          </w:p>
          <w:p w:rsidR="00601840" w:rsidRDefault="004C264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Semestr 3 lub 5</w:t>
            </w:r>
          </w:p>
        </w:tc>
      </w:tr>
      <w:tr w:rsidR="00601840" w:rsidTr="006B1AA1">
        <w:trPr>
          <w:trHeight w:val="262"/>
        </w:trPr>
        <w:tc>
          <w:tcPr>
            <w:tcW w:w="6576" w:type="dxa"/>
            <w:gridSpan w:val="4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  <w:sz w:val="20"/>
              </w:rPr>
              <w:t>Zakład Rekreacji i odnowy Psychosomatycznej.</w:t>
            </w:r>
          </w:p>
        </w:tc>
        <w:tc>
          <w:tcPr>
            <w:tcW w:w="414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60184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01840" w:rsidTr="006B1AA1">
        <w:trPr>
          <w:trHeight w:val="178"/>
        </w:trPr>
        <w:tc>
          <w:tcPr>
            <w:tcW w:w="443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studiów/ rodzaj studiów: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Status grupy zajęć:</w:t>
            </w:r>
          </w:p>
        </w:tc>
      </w:tr>
      <w:tr w:rsidR="00601840" w:rsidTr="006B1AA1">
        <w:trPr>
          <w:trHeight w:val="169"/>
        </w:trPr>
        <w:tc>
          <w:tcPr>
            <w:tcW w:w="443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Studia stacjonarne: I stopnia</w:t>
            </w:r>
          </w:p>
        </w:tc>
        <w:tc>
          <w:tcPr>
            <w:tcW w:w="21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praktyczny</w:t>
            </w:r>
          </w:p>
        </w:tc>
        <w:tc>
          <w:tcPr>
            <w:tcW w:w="4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 xml:space="preserve"> fakultatywny</w:t>
            </w:r>
          </w:p>
        </w:tc>
      </w:tr>
      <w:tr w:rsidR="00601840" w:rsidTr="006B1AA1">
        <w:trPr>
          <w:trHeight w:val="330"/>
        </w:trPr>
        <w:tc>
          <w:tcPr>
            <w:tcW w:w="44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Język grupy zajęć:</w:t>
            </w:r>
          </w:p>
          <w:p w:rsidR="00601840" w:rsidRDefault="004C264B">
            <w:pPr>
              <w:spacing w:after="0" w:line="240" w:lineRule="auto"/>
            </w:pPr>
            <w:r>
              <w:rPr>
                <w:rFonts w:cs="Calibri"/>
                <w:b/>
              </w:rPr>
              <w:t>polski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zajęć:</w:t>
            </w:r>
          </w:p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  <w:sz w:val="20"/>
              </w:rPr>
              <w:t>ćwiczenia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Wymiar zajęć stacjonarne </w:t>
            </w:r>
          </w:p>
          <w:p w:rsidR="00601840" w:rsidRDefault="004C264B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 26 godzin</w:t>
            </w:r>
          </w:p>
        </w:tc>
      </w:tr>
      <w:tr w:rsidR="00601840" w:rsidTr="006B1AA1">
        <w:trPr>
          <w:trHeight w:val="236"/>
        </w:trPr>
        <w:tc>
          <w:tcPr>
            <w:tcW w:w="21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Koordynator grupy zajęć 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Style w:val="Tekstzastpczy"/>
                <w:b/>
                <w:color w:val="auto"/>
              </w:rPr>
              <w:t>mgr Bożena Wołkowycka</w:t>
            </w:r>
          </w:p>
        </w:tc>
        <w:tc>
          <w:tcPr>
            <w:tcW w:w="4145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Sposób realizacji:</w:t>
            </w:r>
          </w:p>
        </w:tc>
      </w:tr>
      <w:tr w:rsidR="00601840" w:rsidTr="006B1AA1">
        <w:trPr>
          <w:trHeight w:val="269"/>
        </w:trPr>
        <w:tc>
          <w:tcPr>
            <w:tcW w:w="214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6018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6018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45" w:type="dxa"/>
            <w:gridSpan w:val="2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  <w:b/>
              </w:rPr>
              <w:t>Zajęcia wymagające bezpośredniego udziału nauczyciela akademickiego i studentów</w:t>
            </w:r>
          </w:p>
        </w:tc>
      </w:tr>
      <w:tr w:rsidR="00601840" w:rsidTr="006B1AA1">
        <w:trPr>
          <w:trHeight w:val="323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Wymagania wstępne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>Wiedza:</w:t>
            </w:r>
            <w:r>
              <w:rPr>
                <w:rFonts w:ascii="Calibri" w:hAnsi="Calibri" w:cs="Calibri"/>
                <w:bCs/>
                <w:color w:val="000000"/>
              </w:rPr>
              <w:t xml:space="preserve"> Student posiada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t>wiedzę z zakresu nauczania techniki gry w badmintona i podstawowych zadań taktycznych</w:t>
            </w:r>
            <w:r>
              <w:rPr>
                <w:b/>
              </w:rPr>
              <w:t>.</w:t>
            </w:r>
          </w:p>
          <w:p w:rsidR="00601840" w:rsidRDefault="004C264B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 xml:space="preserve">Umiejętności: </w:t>
            </w:r>
            <w:r>
              <w:rPr>
                <w:rFonts w:ascii="Calibri" w:hAnsi="Calibri" w:cs="Calibri"/>
                <w:bCs/>
                <w:color w:val="000000"/>
              </w:rPr>
              <w:t xml:space="preserve">Student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posiada u</w:t>
            </w:r>
            <w:r>
              <w:t>miejętność zorganizowania imprezy rekreacyjnej.</w:t>
            </w:r>
          </w:p>
          <w:p w:rsidR="00601840" w:rsidRDefault="004C264B" w:rsidP="00AB5DA2">
            <w:pPr>
              <w:pStyle w:val="Zawartotabeli"/>
              <w:snapToGrid w:val="0"/>
              <w:ind w:right="-5"/>
            </w:pPr>
            <w:r>
              <w:rPr>
                <w:rFonts w:ascii="Calibri" w:hAnsi="Calibri" w:cs="Calibri"/>
                <w:b/>
                <w:color w:val="000000"/>
              </w:rPr>
              <w:t xml:space="preserve">Kompetencje społeczne: </w:t>
            </w:r>
            <w:r>
              <w:rPr>
                <w:rFonts w:ascii="Calibri" w:hAnsi="Calibri" w:cs="Calibri"/>
                <w:bCs/>
                <w:color w:val="000000"/>
              </w:rPr>
              <w:t>Studen</w:t>
            </w:r>
            <w:r w:rsidRPr="004764D2">
              <w:rPr>
                <w:rFonts w:ascii="Calibri" w:hAnsi="Calibri" w:cs="Calibri"/>
                <w:color w:val="000000"/>
              </w:rPr>
              <w:t>t</w:t>
            </w:r>
            <w:r w:rsidRPr="004764D2">
              <w:rPr>
                <w:rFonts w:cs="Calibri"/>
                <w:bCs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 xml:space="preserve">prowadzi prozdrowotny styl życia, dba o optymalny poziom sprawności fizycznej oraz </w:t>
            </w:r>
            <w:bookmarkStart w:id="1" w:name="_GoBack"/>
            <w:bookmarkEnd w:id="1"/>
            <w:r>
              <w:rPr>
                <w:rFonts w:cs="Calibri"/>
                <w:bCs/>
                <w:color w:val="000000"/>
              </w:rPr>
              <w:t>prawidłową sylwetkę ciała</w:t>
            </w:r>
            <w:r>
              <w:rPr>
                <w:rFonts w:ascii="Calibri" w:hAnsi="Calibri" w:cs="Calibri"/>
                <w:b/>
                <w:color w:val="000000"/>
              </w:rPr>
              <w:t xml:space="preserve">    </w:t>
            </w:r>
          </w:p>
        </w:tc>
        <w:tc>
          <w:tcPr>
            <w:tcW w:w="4145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601840">
            <w:pPr>
              <w:spacing w:after="0" w:line="240" w:lineRule="auto"/>
              <w:rPr>
                <w:rFonts w:cs="Calibri"/>
              </w:rPr>
            </w:pPr>
          </w:p>
        </w:tc>
      </w:tr>
      <w:tr w:rsidR="00601840" w:rsidTr="006B1AA1">
        <w:trPr>
          <w:trHeight w:val="491"/>
        </w:trPr>
        <w:tc>
          <w:tcPr>
            <w:tcW w:w="2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Cele grupy zajęć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840" w:rsidRDefault="004C264B" w:rsidP="00AB5DA2">
            <w:r>
              <w:t>Zapoznanie studentów z badmintonem jako formą rekreacji ruchowej. Nauka gry pojedynczej i  podwójnej.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601840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Efekty uczenia się</w:t>
            </w:r>
          </w:p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Odniesienie Charakterystyk II stopnia Polskiej Ramy Kwalifikacji *</w:t>
            </w:r>
          </w:p>
        </w:tc>
      </w:tr>
      <w:tr w:rsidR="00601840"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wiedzy</w:t>
            </w:r>
          </w:p>
        </w:tc>
      </w:tr>
      <w:tr w:rsidR="00601840" w:rsidTr="006B1AA1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W01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posiada ogólną znajomość budowy i funkcjonowania organizmu człowieka, rozumie istotę procesów fizjologicznych zachodzących w ludzkim organizmie pod wpływem ukierunkowanych ćwiczeń fizycznych i zabiegów odnowy psychosomatycznej.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 w:rsidP="006B1AA1">
            <w:pPr>
              <w:spacing w:after="0" w:line="240" w:lineRule="auto"/>
            </w:pPr>
            <w:r>
              <w:t>W02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635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635"/>
            </w:tblGrid>
            <w:tr w:rsidR="00601840" w:rsidTr="006B1AA1">
              <w:trPr>
                <w:trHeight w:val="635"/>
              </w:trPr>
              <w:tc>
                <w:tcPr>
                  <w:tcW w:w="1063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840" w:rsidRDefault="004C264B" w:rsidP="006B1AA1">
                  <w:pPr>
                    <w:spacing w:after="0" w:line="240" w:lineRule="auto"/>
                    <w:textAlignment w:val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P6S_WG</w:t>
                  </w:r>
                </w:p>
              </w:tc>
            </w:tr>
          </w:tbl>
          <w:p w:rsidR="00601840" w:rsidRDefault="004C264B" w:rsidP="006B1AA1">
            <w:pPr>
              <w:spacing w:after="0" w:line="240" w:lineRule="auto"/>
            </w:pPr>
            <w:r>
              <w:rPr>
                <w:rFonts w:cs="Calibri"/>
              </w:rPr>
              <w:t>P6S_WK</w:t>
            </w:r>
          </w:p>
        </w:tc>
      </w:tr>
      <w:tr w:rsidR="00601840" w:rsidTr="006B1AA1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 w:rsidP="006B1AA1">
            <w:pPr>
              <w:rPr>
                <w:rFonts w:cs="Calibri"/>
                <w:iCs/>
                <w:strike/>
              </w:rPr>
            </w:pPr>
            <w:r>
              <w:t>ma podstawową wiedzę o celach i funkcjach edukacji zdrowotnej oraz o zasadach promocji zdrowia i prozdrowotnego trybu życia.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W06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601840">
            <w:pPr>
              <w:spacing w:after="0" w:line="240" w:lineRule="auto"/>
              <w:rPr>
                <w:rFonts w:cs="Calibri"/>
                <w:strike/>
              </w:rPr>
            </w:pPr>
          </w:p>
        </w:tc>
      </w:tr>
      <w:tr w:rsidR="00601840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umiejętności</w:t>
            </w:r>
          </w:p>
        </w:tc>
      </w:tr>
      <w:tr w:rsidR="00601840" w:rsidTr="006B1AA1">
        <w:trPr>
          <w:trHeight w:val="512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Posiada specjalistyczne techniczne umiejętności ruchowe z badmintona pozwalające na grę.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t>U05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P6S_UW</w:t>
            </w:r>
          </w:p>
        </w:tc>
      </w:tr>
      <w:tr w:rsidR="00601840">
        <w:trPr>
          <w:trHeight w:val="57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 zakresie kompetencji społecznych</w:t>
            </w:r>
          </w:p>
        </w:tc>
      </w:tr>
      <w:tr w:rsidR="00601840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prowadzi prozdrowotny styl życia, dba o optymalny poziom</w:t>
            </w:r>
          </w:p>
          <w:p w:rsidR="00601840" w:rsidRDefault="004C264B">
            <w:pPr>
              <w:spacing w:after="0" w:line="240" w:lineRule="auto"/>
              <w:jc w:val="both"/>
            </w:pPr>
            <w:r>
              <w:rPr>
                <w:rFonts w:cs="Calibri"/>
              </w:rPr>
              <w:t>sprawności fizycznej oraz prawidłową sylwetkę ciała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K02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P6S_KR</w:t>
            </w:r>
          </w:p>
        </w:tc>
      </w:tr>
      <w:tr w:rsidR="00601840">
        <w:trPr>
          <w:trHeight w:val="293"/>
        </w:trPr>
        <w:tc>
          <w:tcPr>
            <w:tcW w:w="9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both"/>
            </w:pPr>
            <w:r>
              <w:rPr>
                <w:rFonts w:cs="Calibri"/>
              </w:rPr>
              <w:t>jest świadomy ograniczeń we własnych kompetencjach i wie kiedy zwrócić się o pomoc ekspercką.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K12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 w:rsidP="006B1AA1">
            <w:pPr>
              <w:spacing w:after="0" w:line="240" w:lineRule="auto"/>
              <w:rPr>
                <w:rFonts w:cs="Calibri"/>
                <w:strike/>
              </w:rPr>
            </w:pPr>
            <w:r>
              <w:rPr>
                <w:rFonts w:cs="Calibri"/>
              </w:rPr>
              <w:t>P6S_KK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184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Stosowane metody dydaktyczne</w:t>
            </w:r>
          </w:p>
        </w:tc>
      </w:tr>
      <w:tr w:rsidR="00601840">
        <w:trPr>
          <w:trHeight w:val="381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both"/>
            </w:pPr>
            <w:r>
              <w:rPr>
                <w:rStyle w:val="normaltextrun"/>
                <w:rFonts w:cs="Calibri"/>
                <w:b/>
                <w:bCs/>
              </w:rPr>
              <w:t>Objaśnienie, opis, pokaz, ćwiczenia praktyczne.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184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Metody sprawdzania i kryteria oceny efektów uczenia się uzyskanych przez studentów</w:t>
            </w:r>
          </w:p>
        </w:tc>
      </w:tr>
      <w:tr w:rsidR="00601840" w:rsidTr="00AB5DA2">
        <w:trPr>
          <w:trHeight w:val="2524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 w:rsidP="00AB5DA2">
            <w:pPr>
              <w:spacing w:after="0"/>
              <w:ind w:firstLine="708"/>
            </w:pPr>
            <w:r>
              <w:lastRenderedPageBreak/>
              <w:t>Obserwacja, dyskusja dydaktyczna, test, sprawdzian umiejętności praktycznych.</w:t>
            </w:r>
          </w:p>
          <w:p w:rsidR="00AB5DA2" w:rsidRDefault="004C264B" w:rsidP="00AB5DA2">
            <w:pPr>
              <w:spacing w:after="0"/>
              <w:ind w:firstLine="708"/>
            </w:pPr>
            <w:r>
              <w:t>Kryteria oceniania – na podstawie aktywności na zajęciach, obecności, posiadanej wiedzy, umiejętności praktycznych oraz testu.</w:t>
            </w:r>
          </w:p>
          <w:p w:rsidR="00601840" w:rsidRDefault="004C264B" w:rsidP="00AB5DA2">
            <w:pPr>
              <w:spacing w:after="0"/>
              <w:ind w:firstLine="708"/>
            </w:pPr>
            <w:r>
              <w:t xml:space="preserve">Ocena bardzo dobra: student posiada pogłębioną wiedzę wymienioną w efektach uczenia się, posiada umiejętność wykonywania ćwiczeń oraz wykazał się dużym zaangażowaniem na zajęciach. </w:t>
            </w:r>
          </w:p>
          <w:p w:rsidR="00601840" w:rsidRDefault="004C264B" w:rsidP="00AB5DA2">
            <w:pPr>
              <w:spacing w:after="0"/>
              <w:ind w:firstLine="734"/>
            </w:pPr>
            <w:r>
              <w:t>Ocena dobra: student opanował wszystkie zagadnienia teoretyczne, jednak ma pewne trudności z ich praktyczną interpretacją, uczęszczał na ćwiczenia wykazując w nich średnie zaangażowanie.</w:t>
            </w:r>
          </w:p>
          <w:p w:rsidR="00601840" w:rsidRDefault="004C264B" w:rsidP="00AB5DA2">
            <w:pPr>
              <w:spacing w:after="0" w:line="240" w:lineRule="auto"/>
              <w:ind w:firstLine="708"/>
            </w:pPr>
            <w:r>
              <w:t>Ocena dostateczna: student opanował wiadomości i umiejętności w stopniu podstawowym, jednak posiada znaczne luki w ich pogłębionej i praktycznej interpretacji, w zajęciach wykazał się małym zaangażowaniem.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601840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Treści programowe grupy zajęć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Godziny</w:t>
            </w:r>
          </w:p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ST/NST</w:t>
            </w:r>
          </w:p>
        </w:tc>
      </w:tr>
      <w:tr w:rsidR="00601840" w:rsidTr="00AB5DA2">
        <w:trPr>
          <w:trHeight w:val="263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Ćwiczenia praktyczne: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26/13</w:t>
            </w:r>
          </w:p>
        </w:tc>
      </w:tr>
      <w:tr w:rsidR="00601840" w:rsidTr="00AB5DA2">
        <w:trPr>
          <w:trHeight w:val="55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91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 w:rsidP="00AB5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Historia polskiego badmintona. Sprzęt osobisty zawodników wyczynowych i rekreacyjnych. Wyposażenie kortów. Budowa rakiety do badmintona. Budowa i rodzaje lotek.  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01840" w:rsidTr="00AB5DA2">
        <w:trPr>
          <w:trHeight w:val="412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2.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 w:rsidP="00AB5DA2">
            <w:pPr>
              <w:pStyle w:val="Akapitzlist"/>
              <w:ind w:left="0" w:firstLine="15"/>
              <w:jc w:val="both"/>
            </w:pPr>
            <w:r>
              <w:t>Zabawy i gry oswajające ze sprzętem do badmintona.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01840" w:rsidTr="00AB5DA2">
        <w:trPr>
          <w:trHeight w:val="276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both"/>
            </w:pPr>
            <w:r>
              <w:rPr>
                <w:rFonts w:cs="Calibri"/>
                <w:bCs/>
              </w:rPr>
              <w:t>Nauka podstawowych uderzeń – forhend , bekhend, smecz, różne techniki poruszania się po korcie</w:t>
            </w:r>
            <w:r>
              <w:rPr>
                <w:rFonts w:cs="Calibri"/>
                <w:bCs/>
                <w:strike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01840" w:rsidTr="00AB5DA2">
        <w:trPr>
          <w:trHeight w:val="280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4. 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Nauka podstawowych rodzajów zagrywki.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01840" w:rsidTr="00AB5DA2">
        <w:trPr>
          <w:trHeight w:val="398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Nauka techniki i taktyki gry pojedynczej i podwójnej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01840" w:rsidTr="00AB5DA2">
        <w:trPr>
          <w:trHeight w:val="277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rPr>
                <w:rFonts w:cs="Calibri"/>
              </w:rPr>
            </w:pPr>
            <w:r>
              <w:rPr>
                <w:rFonts w:cs="Calibri"/>
              </w:rPr>
              <w:t xml:space="preserve">Organizacja turniejów, przepisy gry, systemy rozgrywek, sędziowanie, zasady „fair play”.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01840" w:rsidTr="006B1AA1">
        <w:trPr>
          <w:trHeight w:val="553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rPr>
                <w:rFonts w:cs="Calibri"/>
              </w:rPr>
            </w:pPr>
            <w:r>
              <w:rPr>
                <w:rFonts w:cs="Calibri"/>
              </w:rPr>
              <w:t>Sprawdzian z przepisów i organizacji badmintona. Sprawdzian praktyczny – zagrywka, clear, drop skrót, lob.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601840" w:rsidTr="006B1AA1">
        <w:trPr>
          <w:trHeight w:val="393"/>
        </w:trPr>
        <w:tc>
          <w:tcPr>
            <w:tcW w:w="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rPr>
                <w:rFonts w:cs="Calibri"/>
              </w:rPr>
            </w:pPr>
            <w:r>
              <w:rPr>
                <w:rFonts w:cs="Calibri"/>
              </w:rPr>
              <w:t>Start w zawodach rekreacyjnych.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601840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i warunki zaliczenia grupy zajęć, w tym zasady dopuszczenia do egzaminu, zaliczenia, a także forma i warunki zaliczenia poszczególnych zajęć wchodzących w zakres danej grupy zajęć</w:t>
            </w:r>
          </w:p>
        </w:tc>
      </w:tr>
      <w:tr w:rsidR="00601840" w:rsidTr="00AB5DA2">
        <w:trPr>
          <w:trHeight w:val="894"/>
        </w:trPr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both"/>
            </w:pPr>
            <w:r>
              <w:rPr>
                <w:rStyle w:val="normaltextrun"/>
                <w:rFonts w:cs="Calibri"/>
                <w:color w:val="000000"/>
              </w:rPr>
              <w:t>Warunkiem uzyskania zaliczenia przedmiotu jest uczestnictwo w zajęciach, aktywny w nich udział (bieżące przygotowanie do zajęć, dyskusja, wykonywanie zadań), uzyskanie pozytywnych ocen cząstkowych z zajęć praktycznych oraz testu pisemnego.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601840"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Nakład pracy studenta - bilans punktów ECTS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Niestacjonarne</w:t>
            </w:r>
          </w:p>
        </w:tc>
      </w:tr>
      <w:tr w:rsidR="00601840">
        <w:trPr>
          <w:trHeight w:val="229"/>
        </w:trPr>
        <w:tc>
          <w:tcPr>
            <w:tcW w:w="694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Godziny kontaktowe z nauczycielem akademickim:</w:t>
            </w:r>
          </w:p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Udział w ćwiczeniach</w:t>
            </w:r>
          </w:p>
          <w:p w:rsidR="00601840" w:rsidRDefault="004C264B">
            <w:pPr>
              <w:spacing w:after="0" w:line="240" w:lineRule="auto"/>
            </w:pPr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30 godzin łącznie:</w:t>
            </w:r>
          </w:p>
          <w:p w:rsidR="00601840" w:rsidRDefault="004C264B">
            <w:pPr>
              <w:spacing w:after="0" w:line="240" w:lineRule="auto"/>
            </w:pPr>
            <w:r>
              <w:t>26 godz.</w:t>
            </w:r>
          </w:p>
          <w:p w:rsidR="00601840" w:rsidRDefault="004C264B">
            <w:pPr>
              <w:spacing w:after="0" w:line="240" w:lineRule="auto"/>
            </w:pPr>
            <w:r>
              <w:t>4 godz.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15 godzin łącznie:</w:t>
            </w:r>
          </w:p>
          <w:p w:rsidR="00601840" w:rsidRDefault="004C264B">
            <w:pPr>
              <w:spacing w:after="0" w:line="240" w:lineRule="auto"/>
            </w:pPr>
            <w:r>
              <w:t>13 godz.</w:t>
            </w:r>
          </w:p>
          <w:p w:rsidR="00601840" w:rsidRDefault="004C264B">
            <w:pPr>
              <w:spacing w:after="0" w:line="240" w:lineRule="auto"/>
            </w:pPr>
            <w:r>
              <w:t>2 godz.</w:t>
            </w:r>
          </w:p>
        </w:tc>
      </w:tr>
      <w:tr w:rsidR="00601840" w:rsidTr="00AB5DA2">
        <w:trPr>
          <w:trHeight w:val="295"/>
        </w:trPr>
        <w:tc>
          <w:tcPr>
            <w:tcW w:w="694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</w:pPr>
          </w:p>
        </w:tc>
      </w:tr>
      <w:tr w:rsidR="00601840">
        <w:trPr>
          <w:trHeight w:val="210"/>
        </w:trPr>
        <w:tc>
          <w:tcPr>
            <w:tcW w:w="694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Samodzielna praca studenta:</w:t>
            </w:r>
          </w:p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ćwiczeń</w:t>
            </w:r>
          </w:p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Przygotowanie do zaliczenia</w:t>
            </w:r>
          </w:p>
          <w:p w:rsidR="00601840" w:rsidRDefault="004C26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Praca z literaturą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22 godzin łącznie</w:t>
            </w:r>
          </w:p>
          <w:p w:rsidR="00601840" w:rsidRDefault="004C264B">
            <w:pPr>
              <w:spacing w:after="0" w:line="240" w:lineRule="auto"/>
            </w:pPr>
            <w:r>
              <w:t>10 godzin</w:t>
            </w:r>
          </w:p>
          <w:p w:rsidR="00601840" w:rsidRDefault="004C264B">
            <w:pPr>
              <w:spacing w:after="0" w:line="240" w:lineRule="auto"/>
            </w:pPr>
            <w:r>
              <w:t>4 godziny</w:t>
            </w:r>
          </w:p>
          <w:p w:rsidR="00601840" w:rsidRDefault="004C264B">
            <w:pPr>
              <w:spacing w:after="0" w:line="240" w:lineRule="auto"/>
            </w:pPr>
            <w:r>
              <w:t>8 godzin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t>37 godzin łącznie</w:t>
            </w:r>
          </w:p>
          <w:p w:rsidR="00601840" w:rsidRDefault="004C264B">
            <w:pPr>
              <w:spacing w:after="0" w:line="240" w:lineRule="auto"/>
            </w:pPr>
            <w:r>
              <w:t>12 godzin</w:t>
            </w:r>
          </w:p>
          <w:p w:rsidR="00601840" w:rsidRDefault="004C264B">
            <w:pPr>
              <w:spacing w:after="0" w:line="240" w:lineRule="auto"/>
            </w:pPr>
            <w:r>
              <w:t>10 godzin</w:t>
            </w:r>
          </w:p>
          <w:p w:rsidR="00601840" w:rsidRDefault="004C264B" w:rsidP="00AB5DA2">
            <w:pPr>
              <w:spacing w:after="0" w:line="240" w:lineRule="auto"/>
            </w:pPr>
            <w:r>
              <w:t>15 godzin</w:t>
            </w:r>
          </w:p>
        </w:tc>
      </w:tr>
      <w:tr w:rsidR="00601840" w:rsidTr="00AB5DA2">
        <w:trPr>
          <w:trHeight w:val="80"/>
        </w:trPr>
        <w:tc>
          <w:tcPr>
            <w:tcW w:w="694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601840">
            <w:pPr>
              <w:spacing w:after="0" w:line="240" w:lineRule="auto"/>
            </w:pPr>
          </w:p>
        </w:tc>
      </w:tr>
      <w:tr w:rsidR="00601840">
        <w:trPr>
          <w:trHeight w:val="38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Łączny nakład pracy studenta wynosi: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 xml:space="preserve"> 5</w:t>
            </w:r>
            <w:r>
              <w:rPr>
                <w:b/>
              </w:rPr>
              <w:t>2</w:t>
            </w:r>
            <w:r>
              <w:rPr>
                <w:rFonts w:cs="Calibri"/>
                <w:b/>
              </w:rPr>
              <w:t xml:space="preserve">  godziny</w:t>
            </w:r>
            <w:r>
              <w:rPr>
                <w:rFonts w:cs="Calibri"/>
              </w:rPr>
              <w:t xml:space="preserve">, co odpowiada </w:t>
            </w:r>
            <w:r>
              <w:rPr>
                <w:rFonts w:cs="Calibri"/>
                <w:b/>
              </w:rPr>
              <w:t xml:space="preserve">  2   punktom ECTS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184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Wykaz literatury podstawowej i uzupełniającej, obowiązującej do zaliczenia danej grupy zajęć</w:t>
            </w:r>
          </w:p>
        </w:tc>
      </w:tr>
      <w:tr w:rsidR="00601840">
        <w:trPr>
          <w:trHeight w:val="938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 w:rsidP="00AB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Literatura podstawowa:</w:t>
            </w:r>
          </w:p>
          <w:p w:rsidR="00601840" w:rsidRDefault="004C264B" w:rsidP="00AB5DA2">
            <w:pPr>
              <w:spacing w:after="0" w:line="240" w:lineRule="auto"/>
            </w:pPr>
            <w:r>
              <w:t>Nawara H., Nawara U. 1999. Gry i zabawy integracyjne Akademia Wychowania Fizycznego, Wrocław.</w:t>
            </w:r>
          </w:p>
          <w:p w:rsidR="00601840" w:rsidRDefault="004C264B" w:rsidP="00AB5DA2">
            <w:pPr>
              <w:spacing w:after="0" w:line="240" w:lineRule="auto"/>
            </w:pPr>
            <w:r>
              <w:t>Nawara H. 2000. Badminton. Akademia Wychowania Fizycznego, Wrocław.</w:t>
            </w:r>
          </w:p>
          <w:p w:rsidR="00601840" w:rsidRDefault="004C264B" w:rsidP="00AB5DA2">
            <w:pPr>
              <w:spacing w:after="0" w:line="240" w:lineRule="auto"/>
            </w:pPr>
            <w:r>
              <w:t>Stelter M. 2001. Badminton. Program szkolenia dzieci i młodzieży. Centralny Ośrodek Sportu, Warszawa.</w:t>
            </w:r>
          </w:p>
          <w:p w:rsidR="006B1AA1" w:rsidRDefault="004C264B" w:rsidP="00AB5DA2">
            <w:pPr>
              <w:spacing w:after="0" w:line="240" w:lineRule="auto"/>
            </w:pPr>
            <w:r>
              <w:t>Szalewicz A. 2001. Nauka badmintona w weekend. Wyd. Wiedza i życie S.A, Warszawa</w:t>
            </w:r>
            <w:r w:rsidR="006B1AA1">
              <w:t>.</w:t>
            </w:r>
          </w:p>
          <w:p w:rsidR="00601840" w:rsidRDefault="004C264B" w:rsidP="00AB5DA2">
            <w:pPr>
              <w:spacing w:after="0" w:line="240" w:lineRule="auto"/>
            </w:pPr>
            <w:r>
              <w:t>Strony internetowe:</w:t>
            </w:r>
            <w:r w:rsidR="00AB5DA2">
              <w:t xml:space="preserve"> </w:t>
            </w:r>
            <w:r w:rsidRPr="00AB5DA2">
              <w:rPr>
                <w:rStyle w:val="Hipercze"/>
              </w:rPr>
              <w:t>https://pzbad.pl/</w:t>
            </w:r>
          </w:p>
          <w:p w:rsidR="00601840" w:rsidRDefault="00601840" w:rsidP="00AB5DA2">
            <w:pPr>
              <w:spacing w:after="0" w:line="240" w:lineRule="auto"/>
            </w:pPr>
          </w:p>
        </w:tc>
      </w:tr>
      <w:tr w:rsidR="00601840">
        <w:trPr>
          <w:trHeight w:val="57"/>
        </w:trPr>
        <w:tc>
          <w:tcPr>
            <w:tcW w:w="10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 w:rsidP="00AB5D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Literatura uzupełniająca:</w:t>
            </w:r>
          </w:p>
          <w:p w:rsidR="00601840" w:rsidRDefault="004C264B" w:rsidP="00AB5DA2">
            <w:pPr>
              <w:spacing w:after="0" w:line="240" w:lineRule="auto"/>
            </w:pPr>
            <w:r>
              <w:lastRenderedPageBreak/>
              <w:t>Jaksik B.(Wołkowycka) 1997. Metodyka nauczania wybranych elementów techniki gry w badmintonie na etapie wstępnym. [praca dyplomowa] Akademia Wychowania Fizycznego</w:t>
            </w:r>
            <w:r w:rsidR="006B1AA1">
              <w:t>.</w:t>
            </w:r>
          </w:p>
          <w:p w:rsidR="00601840" w:rsidRDefault="004C264B" w:rsidP="00AB5DA2">
            <w:pPr>
              <w:spacing w:after="0" w:line="240" w:lineRule="auto"/>
              <w:jc w:val="both"/>
            </w:pPr>
            <w:r>
              <w:t>Wołkowycka B.</w:t>
            </w:r>
            <w:r>
              <w:rPr>
                <w:b/>
              </w:rPr>
              <w:t xml:space="preserve"> </w:t>
            </w:r>
            <w:r>
              <w:t>2005. Osiągnięcia sportowe juniorek młodszych w badmintonie a wyniki testów specjalnych. W</w:t>
            </w:r>
            <w:r>
              <w:rPr>
                <w:b/>
              </w:rPr>
              <w:t>:</w:t>
            </w:r>
            <w:r>
              <w:t xml:space="preserve"> Efekty Kształcenia i Wychowania w Kulturze Fizycznej</w:t>
            </w:r>
            <w:r w:rsidR="006B1AA1">
              <w:t>,</w:t>
            </w:r>
            <w:r>
              <w:t xml:space="preserve"> pod red. W. Mynarskiego, J. Ślężyńskiego, Akademia Wychowania Fizycznego, Katowice, s.</w:t>
            </w:r>
            <w:r w:rsidR="006B1AA1">
              <w:t xml:space="preserve"> </w:t>
            </w:r>
            <w:r>
              <w:t>311-317.</w:t>
            </w:r>
          </w:p>
          <w:p w:rsidR="00601840" w:rsidRDefault="004C264B" w:rsidP="00AB5DA2">
            <w:pPr>
              <w:spacing w:after="0" w:line="240" w:lineRule="auto"/>
              <w:jc w:val="both"/>
            </w:pPr>
            <w:r>
              <w:t>Wołkowycka B.2006. Wstępna metodyka nauczania gry w badmintona. W: Wychowanie Fizyczne i Zdrowotne. Nr 11-12, s.</w:t>
            </w:r>
            <w:r w:rsidR="006B1AA1">
              <w:t xml:space="preserve"> </w:t>
            </w:r>
            <w:r>
              <w:t>10-16.</w:t>
            </w:r>
          </w:p>
          <w:p w:rsidR="00601840" w:rsidRDefault="004C264B" w:rsidP="00AB5DA2">
            <w:pPr>
              <w:spacing w:after="0" w:line="240" w:lineRule="auto"/>
              <w:jc w:val="both"/>
            </w:pPr>
            <w:r>
              <w:t>Wołkowycka B. 2007. Budowa somatyczna a poziom sprawności młodych badmintonistek. W: Ruch rzeźbi każdy umysł i ciało: materiały pokonferencyjne. Państwowa Wyższa Szkoła Zawodowa, Leszno, s.</w:t>
            </w:r>
            <w:r w:rsidR="006B1AA1">
              <w:t xml:space="preserve"> </w:t>
            </w:r>
            <w:r>
              <w:t xml:space="preserve">144 – 152. 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1840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601840">
        <w:trPr>
          <w:trHeight w:val="395"/>
        </w:trPr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40" w:rsidRDefault="004C264B">
            <w:pPr>
              <w:spacing w:after="0" w:line="240" w:lineRule="auto"/>
            </w:pPr>
            <w:r>
              <w:rPr>
                <w:rFonts w:cs="Calibri"/>
              </w:rPr>
              <w:t>Nie dotyczy</w:t>
            </w:r>
          </w:p>
        </w:tc>
      </w:tr>
    </w:tbl>
    <w:p w:rsidR="00601840" w:rsidRDefault="00601840">
      <w:pPr>
        <w:spacing w:after="0" w:line="240" w:lineRule="auto"/>
        <w:rPr>
          <w:rFonts w:cs="Calibri"/>
        </w:rPr>
      </w:pPr>
    </w:p>
    <w:p w:rsidR="00601840" w:rsidRDefault="004C264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Forma oceny efektów uczenia się</w:t>
      </w:r>
    </w:p>
    <w:tbl>
      <w:tblPr>
        <w:tblW w:w="72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656"/>
        <w:gridCol w:w="2835"/>
      </w:tblGrid>
      <w:tr w:rsidR="00601840" w:rsidTr="00AB5DA2">
        <w:trPr>
          <w:trHeight w:val="329"/>
          <w:jc w:val="center"/>
        </w:trPr>
        <w:tc>
          <w:tcPr>
            <w:tcW w:w="17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Efekty uczenia się </w:t>
            </w:r>
          </w:p>
        </w:tc>
        <w:tc>
          <w:tcPr>
            <w:tcW w:w="5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840" w:rsidRDefault="004C264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Forma oceny</w:t>
            </w:r>
          </w:p>
        </w:tc>
      </w:tr>
      <w:tr w:rsidR="00AB5DA2" w:rsidTr="00AB5DA2">
        <w:trPr>
          <w:trHeight w:val="760"/>
          <w:jc w:val="center"/>
        </w:trPr>
        <w:tc>
          <w:tcPr>
            <w:tcW w:w="17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Test sprawdzający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Obserwacja/dyskusja dydaktyczna</w:t>
            </w:r>
          </w:p>
        </w:tc>
      </w:tr>
      <w:tr w:rsidR="00AB5DA2" w:rsidTr="00AB5DA2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DA2" w:rsidRDefault="00AB5DA2">
            <w:pPr>
              <w:spacing w:after="0" w:line="240" w:lineRule="auto"/>
            </w:pPr>
            <w:r>
              <w:t>W02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  <w:strike/>
              </w:rPr>
            </w:pPr>
          </w:p>
        </w:tc>
      </w:tr>
      <w:tr w:rsidR="00AB5DA2" w:rsidTr="00AB5DA2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</w:pPr>
            <w:r>
              <w:rPr>
                <w:rFonts w:cs="Calibri"/>
              </w:rPr>
              <w:t>W06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AB5DA2" w:rsidTr="00AB5DA2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DA2" w:rsidRDefault="00AB5DA2">
            <w:pPr>
              <w:spacing w:after="0" w:line="240" w:lineRule="auto"/>
            </w:pPr>
            <w:r>
              <w:t>U05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B5DA2" w:rsidTr="00AB5DA2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</w:pPr>
            <w:r>
              <w:rPr>
                <w:rFonts w:cs="Calibri"/>
              </w:rPr>
              <w:t>K02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AB5DA2" w:rsidTr="00AB5DA2">
        <w:trPr>
          <w:trHeight w:val="397"/>
          <w:jc w:val="center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</w:pPr>
            <w:r>
              <w:rPr>
                <w:rFonts w:cs="Calibri"/>
              </w:rPr>
              <w:t>K12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DA2" w:rsidRDefault="00AB5DA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</w:tbl>
    <w:p w:rsidR="00601840" w:rsidRDefault="00601840">
      <w:pPr>
        <w:spacing w:after="0" w:line="240" w:lineRule="auto"/>
        <w:rPr>
          <w:rFonts w:eastAsia="Times New Roman" w:cs="Calibri"/>
        </w:rPr>
      </w:pPr>
    </w:p>
    <w:p w:rsidR="00601840" w:rsidRDefault="00601840">
      <w:pPr>
        <w:spacing w:after="0" w:line="240" w:lineRule="auto"/>
        <w:rPr>
          <w:rFonts w:eastAsia="Times New Roman" w:cs="Calibri"/>
        </w:rPr>
      </w:pPr>
    </w:p>
    <w:sectPr w:rsidR="00601840">
      <w:pgSz w:w="11906" w:h="16838"/>
      <w:pgMar w:top="568" w:right="141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01" w:rsidRDefault="00574701">
      <w:pPr>
        <w:spacing w:after="0" w:line="240" w:lineRule="auto"/>
      </w:pPr>
      <w:r>
        <w:separator/>
      </w:r>
    </w:p>
  </w:endnote>
  <w:endnote w:type="continuationSeparator" w:id="0">
    <w:p w:rsidR="00574701" w:rsidRDefault="0057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01" w:rsidRDefault="005747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4701" w:rsidRDefault="00574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40"/>
    <w:rsid w:val="004764D2"/>
    <w:rsid w:val="004C264B"/>
    <w:rsid w:val="00574701"/>
    <w:rsid w:val="00601840"/>
    <w:rsid w:val="006B1AA1"/>
    <w:rsid w:val="00A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B181-CED2-41B5-BD64-71D31C4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MS Gothic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rPr>
      <w:color w:val="80808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pPr>
      <w:spacing w:line="240" w:lineRule="auto"/>
    </w:pPr>
    <w:rPr>
      <w:lang w:val="en-US"/>
    </w:rPr>
  </w:style>
  <w:style w:type="character" w:customStyle="1" w:styleId="EndNoteBibliographyZnak">
    <w:name w:val="EndNote Bibliography Znak"/>
    <w:basedOn w:val="Domylnaczcionkaakapitu"/>
    <w:rPr>
      <w:rFonts w:ascii="Calibri" w:hAnsi="Calibri"/>
      <w:lang w:val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apple-converted-space">
    <w:name w:val="apple-converted-space"/>
    <w:basedOn w:val="Domylnaczcionkaakapitu"/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pPr>
      <w:spacing w:before="13" w:after="13" w:line="240" w:lineRule="auto"/>
      <w:ind w:left="389" w:hanging="195"/>
    </w:pPr>
    <w:rPr>
      <w:rFonts w:ascii="Arial" w:eastAsia="Arial Unicode MS" w:hAnsi="Arial"/>
      <w:color w:val="333333"/>
      <w:sz w:val="16"/>
      <w:szCs w:val="16"/>
      <w:lang w:eastAsia="pl-PL"/>
    </w:rPr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Calibri Light" w:eastAsia="MS Gothic" w:hAnsi="Calibri Light" w:cs="Times New Roman"/>
      <w:color w:val="1F4D78"/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awf</cp:lastModifiedBy>
  <cp:revision>4</cp:revision>
  <cp:lastPrinted>2017-05-24T09:12:00Z</cp:lastPrinted>
  <dcterms:created xsi:type="dcterms:W3CDTF">2020-06-30T13:49:00Z</dcterms:created>
  <dcterms:modified xsi:type="dcterms:W3CDTF">2020-07-02T12:31:00Z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0x010100E213D0B04B737D4AB5FE3F7A65A79A77</vt:lpwstr>
  </property>
</Properties>
</file>