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1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4"/>
        <w:gridCol w:w="2288"/>
        <w:gridCol w:w="285"/>
        <w:gridCol w:w="2351"/>
        <w:gridCol w:w="1794"/>
        <w:gridCol w:w="1859"/>
      </w:tblGrid>
      <w:tr w:rsidR="00E330BE" w:rsidTr="00BC1F39">
        <w:trPr>
          <w:trHeight w:val="389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C43650">
            <w:pPr>
              <w:spacing w:after="0" w:line="240" w:lineRule="auto"/>
            </w:pPr>
            <w:bookmarkStart w:id="0" w:name="OLE_LINK1"/>
            <w:r>
              <w:t xml:space="preserve">Nazwa przedmiotu: </w:t>
            </w:r>
          </w:p>
        </w:tc>
        <w:tc>
          <w:tcPr>
            <w:tcW w:w="671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C43650">
            <w:pPr>
              <w:spacing w:after="0" w:line="240" w:lineRule="auto"/>
            </w:pPr>
            <w:r>
              <w:rPr>
                <w:rStyle w:val="Tekstzastpczy"/>
                <w:b/>
                <w:color w:val="auto"/>
                <w:sz w:val="20"/>
              </w:rPr>
              <w:t>Badminton rekreacyjny- Specjalizacja instruktora rekreacji ruchowej I lub II</w:t>
            </w:r>
          </w:p>
        </w:tc>
        <w:tc>
          <w:tcPr>
            <w:tcW w:w="18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C43650">
            <w:pPr>
              <w:spacing w:after="0" w:line="240" w:lineRule="auto"/>
            </w:pPr>
            <w:r>
              <w:rPr>
                <w:rStyle w:val="Tekstzastpczy"/>
                <w:color w:val="000000"/>
              </w:rPr>
              <w:t>ECTS</w:t>
            </w:r>
            <w:r>
              <w:rPr>
                <w:rStyle w:val="Tekstzastpczy"/>
              </w:rPr>
              <w:t xml:space="preserve">: </w:t>
            </w:r>
            <w:r>
              <w:rPr>
                <w:rStyle w:val="Tekstzastpczy"/>
                <w:b/>
                <w:bCs/>
                <w:color w:val="auto"/>
              </w:rPr>
              <w:t>6</w:t>
            </w:r>
          </w:p>
        </w:tc>
      </w:tr>
      <w:tr w:rsidR="00E330BE" w:rsidTr="00BC1F39">
        <w:trPr>
          <w:trHeight w:val="382"/>
        </w:trPr>
        <w:tc>
          <w:tcPr>
            <w:tcW w:w="4717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C43650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Wydział:</w:t>
            </w:r>
            <w:r>
              <w:rPr>
                <w:rFonts w:cs="Calibri"/>
              </w:rPr>
              <w:t xml:space="preserve">  </w:t>
            </w:r>
            <w:r>
              <w:rPr>
                <w:rFonts w:cs="Calibri"/>
                <w:b/>
              </w:rPr>
              <w:t>Wydział Wychowania Fizycznego</w:t>
            </w:r>
          </w:p>
        </w:tc>
        <w:tc>
          <w:tcPr>
            <w:tcW w:w="6004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C43650">
            <w:pPr>
              <w:spacing w:after="0" w:line="240" w:lineRule="auto"/>
              <w:ind w:right="-142"/>
            </w:pPr>
            <w:r>
              <w:rPr>
                <w:b/>
                <w:bCs/>
                <w:sz w:val="24"/>
                <w:szCs w:val="24"/>
              </w:rPr>
              <w:t>Kierunek</w:t>
            </w:r>
            <w:r>
              <w:t>: Turystyka i rekreacja</w:t>
            </w:r>
          </w:p>
        </w:tc>
      </w:tr>
      <w:tr w:rsidR="00E330BE" w:rsidTr="00BC1F39">
        <w:trPr>
          <w:trHeight w:val="269"/>
        </w:trPr>
        <w:tc>
          <w:tcPr>
            <w:tcW w:w="7068" w:type="dxa"/>
            <w:gridSpan w:val="4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C436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jednostki prowadzącej przedmiot:</w:t>
            </w:r>
          </w:p>
          <w:p w:rsidR="00E330BE" w:rsidRDefault="00C436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Zakład Rekreacji i Odnowy Psychosomatycznej</w:t>
            </w:r>
            <w:bookmarkStart w:id="1" w:name="_GoBack"/>
            <w:bookmarkEnd w:id="1"/>
          </w:p>
        </w:tc>
        <w:tc>
          <w:tcPr>
            <w:tcW w:w="3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C436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Rok: II lub III</w:t>
            </w:r>
          </w:p>
          <w:p w:rsidR="00E330BE" w:rsidRDefault="00C43650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Semestr: 3 i 4 lub 4 i 5 lub 5 i 6</w:t>
            </w:r>
          </w:p>
        </w:tc>
      </w:tr>
      <w:tr w:rsidR="00E330BE" w:rsidTr="00376B95">
        <w:trPr>
          <w:trHeight w:val="143"/>
        </w:trPr>
        <w:tc>
          <w:tcPr>
            <w:tcW w:w="7068" w:type="dxa"/>
            <w:gridSpan w:val="4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E330BE">
            <w:pPr>
              <w:spacing w:after="0" w:line="240" w:lineRule="auto"/>
            </w:pPr>
          </w:p>
        </w:tc>
        <w:tc>
          <w:tcPr>
            <w:tcW w:w="365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E330B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E330BE" w:rsidTr="00BC1F39">
        <w:trPr>
          <w:trHeight w:val="182"/>
        </w:trPr>
        <w:tc>
          <w:tcPr>
            <w:tcW w:w="4432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C4365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Forma studiów/ rodzaj studiów: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C4365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Profil kształcenia: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C436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Status przedmiotu:</w:t>
            </w:r>
          </w:p>
        </w:tc>
      </w:tr>
      <w:tr w:rsidR="00E330BE" w:rsidTr="00BC1F39">
        <w:trPr>
          <w:trHeight w:val="173"/>
        </w:trPr>
        <w:tc>
          <w:tcPr>
            <w:tcW w:w="443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C4365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Studia stacjonarne I stopnia</w:t>
            </w:r>
          </w:p>
        </w:tc>
        <w:tc>
          <w:tcPr>
            <w:tcW w:w="26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C4365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praktyczny</w:t>
            </w:r>
          </w:p>
        </w:tc>
        <w:tc>
          <w:tcPr>
            <w:tcW w:w="3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C43650">
            <w:pPr>
              <w:spacing w:after="0" w:line="240" w:lineRule="auto"/>
            </w:pPr>
            <w:r>
              <w:rPr>
                <w:rStyle w:val="Tekstzastpczy"/>
                <w:bCs/>
                <w:color w:val="auto"/>
              </w:rPr>
              <w:t>fakultatywny</w:t>
            </w:r>
          </w:p>
        </w:tc>
      </w:tr>
      <w:tr w:rsidR="00E330BE" w:rsidTr="00BC1F39">
        <w:trPr>
          <w:trHeight w:val="801"/>
        </w:trPr>
        <w:tc>
          <w:tcPr>
            <w:tcW w:w="443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C4365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Język przedmiotu:</w:t>
            </w:r>
          </w:p>
          <w:p w:rsidR="00E330BE" w:rsidRDefault="00C43650">
            <w:pPr>
              <w:spacing w:after="0" w:line="240" w:lineRule="auto"/>
            </w:pPr>
            <w:r>
              <w:rPr>
                <w:rFonts w:cs="Calibri"/>
                <w:b/>
              </w:rPr>
              <w:t>polski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C43650" w:rsidP="00852EC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Forma zajęć: ćwiczenia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C4365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Wymiar zajęć:</w:t>
            </w:r>
          </w:p>
          <w:p w:rsidR="00E330BE" w:rsidRDefault="00C4365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stacjonarne </w:t>
            </w:r>
          </w:p>
          <w:p w:rsidR="00E330BE" w:rsidRDefault="00C43650" w:rsidP="00852EC1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78h</w:t>
            </w:r>
          </w:p>
        </w:tc>
      </w:tr>
      <w:tr w:rsidR="00E330BE" w:rsidTr="00BC1F39">
        <w:trPr>
          <w:trHeight w:val="241"/>
        </w:trPr>
        <w:tc>
          <w:tcPr>
            <w:tcW w:w="214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C4365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Prowadzący przedmiot </w:t>
            </w:r>
          </w:p>
        </w:tc>
        <w:tc>
          <w:tcPr>
            <w:tcW w:w="492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C43650">
            <w:pPr>
              <w:spacing w:after="0" w:line="240" w:lineRule="auto"/>
            </w:pPr>
            <w:r>
              <w:rPr>
                <w:rStyle w:val="Tekstzastpczy"/>
                <w:b/>
                <w:color w:val="auto"/>
              </w:rPr>
              <w:t>mgr. Bożena Wołkowycka</w:t>
            </w:r>
          </w:p>
        </w:tc>
        <w:tc>
          <w:tcPr>
            <w:tcW w:w="3653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C4365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Sposób realizacji:</w:t>
            </w:r>
          </w:p>
        </w:tc>
      </w:tr>
      <w:tr w:rsidR="00E330BE" w:rsidTr="00BC1F39">
        <w:trPr>
          <w:trHeight w:val="269"/>
        </w:trPr>
        <w:tc>
          <w:tcPr>
            <w:tcW w:w="214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E330B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924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E330B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53" w:type="dxa"/>
            <w:gridSpan w:val="2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C43650">
            <w:pPr>
              <w:spacing w:after="0" w:line="240" w:lineRule="auto"/>
            </w:pPr>
            <w:r>
              <w:rPr>
                <w:rFonts w:cs="Calibri"/>
                <w:b/>
              </w:rPr>
              <w:t>Zajęcia wymagające bezpośredniego udziału nauczyciela akademickiego i studentów</w:t>
            </w:r>
          </w:p>
        </w:tc>
      </w:tr>
      <w:tr w:rsidR="00E330BE" w:rsidTr="00BC1F39">
        <w:trPr>
          <w:trHeight w:val="330"/>
        </w:trPr>
        <w:tc>
          <w:tcPr>
            <w:tcW w:w="2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C4365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Wymagania wstępne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C43650">
            <w:pPr>
              <w:pStyle w:val="Zawartotabeli"/>
              <w:snapToGrid w:val="0"/>
              <w:ind w:right="-5"/>
            </w:pPr>
            <w:r>
              <w:rPr>
                <w:rFonts w:ascii="Calibri" w:hAnsi="Calibri" w:cs="Calibri"/>
                <w:b/>
                <w:color w:val="000000"/>
              </w:rPr>
              <w:t xml:space="preserve">Wiedza : </w:t>
            </w:r>
            <w:r>
              <w:rPr>
                <w:rFonts w:ascii="Calibri" w:hAnsi="Calibri" w:cs="Calibri"/>
                <w:bCs/>
                <w:color w:val="000000"/>
              </w:rPr>
              <w:t>Student posiada podstawowe informacje dotyczące gry w  badmintona.</w:t>
            </w:r>
          </w:p>
          <w:p w:rsidR="00E330BE" w:rsidRDefault="00C43650">
            <w:pPr>
              <w:pStyle w:val="Zawartotabeli"/>
              <w:snapToGrid w:val="0"/>
              <w:ind w:right="-5"/>
            </w:pPr>
            <w:r>
              <w:rPr>
                <w:rFonts w:ascii="Calibri" w:hAnsi="Calibri" w:cs="Calibri"/>
                <w:b/>
                <w:color w:val="000000"/>
              </w:rPr>
              <w:t>Umiejętności</w:t>
            </w:r>
            <w:r>
              <w:rPr>
                <w:rFonts w:ascii="Calibri" w:hAnsi="Calibri" w:cs="Calibri"/>
                <w:bCs/>
                <w:color w:val="000000"/>
              </w:rPr>
              <w:t>: Student posiada</w:t>
            </w:r>
            <w:r>
              <w:rPr>
                <w:rFonts w:ascii="Calibri" w:hAnsi="Calibri" w:cs="Calibri"/>
                <w:b/>
                <w:color w:val="000000"/>
              </w:rPr>
              <w:t xml:space="preserve">  </w:t>
            </w:r>
            <w:r>
              <w:rPr>
                <w:rFonts w:ascii="Calibri" w:hAnsi="Calibri" w:cs="Calibri"/>
                <w:bCs/>
                <w:color w:val="000000"/>
              </w:rPr>
              <w:t>ogólną sprawność fizyczną,</w:t>
            </w:r>
            <w:r w:rsidR="00BC1F39">
              <w:rPr>
                <w:rFonts w:ascii="Calibri" w:hAnsi="Calibri" w:cs="Calibri"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</w:rPr>
              <w:t>koordynację.</w:t>
            </w:r>
          </w:p>
          <w:p w:rsidR="00E330BE" w:rsidRDefault="00C43650" w:rsidP="00BC1F39">
            <w:pPr>
              <w:pStyle w:val="Zawartotabeli"/>
              <w:snapToGrid w:val="0"/>
              <w:ind w:right="-5"/>
            </w:pPr>
            <w:r>
              <w:rPr>
                <w:rFonts w:ascii="Calibri" w:hAnsi="Calibri" w:cs="Calibri"/>
                <w:b/>
                <w:color w:val="000000"/>
              </w:rPr>
              <w:t>Kompetencje społeczne:</w:t>
            </w:r>
            <w:r w:rsidR="00BC1F39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</w:rPr>
              <w:t>Student lubi rywalizować.</w:t>
            </w:r>
          </w:p>
        </w:tc>
        <w:tc>
          <w:tcPr>
            <w:tcW w:w="3653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E330BE">
            <w:pPr>
              <w:spacing w:after="0" w:line="240" w:lineRule="auto"/>
              <w:rPr>
                <w:rFonts w:cs="Calibri"/>
              </w:rPr>
            </w:pPr>
          </w:p>
        </w:tc>
      </w:tr>
      <w:tr w:rsidR="00E330BE" w:rsidTr="00BC1F39">
        <w:trPr>
          <w:trHeight w:val="711"/>
        </w:trPr>
        <w:tc>
          <w:tcPr>
            <w:tcW w:w="21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C4365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Cele przedmiotu</w:t>
            </w:r>
          </w:p>
        </w:tc>
        <w:tc>
          <w:tcPr>
            <w:tcW w:w="8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0BE" w:rsidRDefault="00C43650" w:rsidP="00852EC1">
            <w:r>
              <w:t>Przygotowanie studentów do samodzielnego organizowania pracy szkoleniowej z dziećmi i młodzieżą.</w:t>
            </w:r>
            <w:r w:rsidR="00852EC1">
              <w:t xml:space="preserve"> </w:t>
            </w:r>
            <w:r>
              <w:t>Wyposażenie studentów wiedzę z zakresu nauczania techniki gry w badmintona i podstawowych zadań taktycznych</w:t>
            </w:r>
          </w:p>
        </w:tc>
      </w:tr>
    </w:tbl>
    <w:p w:rsidR="00E330BE" w:rsidRDefault="00E330BE">
      <w:pPr>
        <w:spacing w:after="0" w:line="240" w:lineRule="auto"/>
        <w:rPr>
          <w:rFonts w:cs="Calibri"/>
        </w:rPr>
      </w:pPr>
    </w:p>
    <w:tbl>
      <w:tblPr>
        <w:tblW w:w="10632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E330BE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Efekty uczenia się</w:t>
            </w:r>
          </w:p>
          <w:p w:rsidR="00E330BE" w:rsidRDefault="00C4365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  <w:jc w:val="center"/>
            </w:pPr>
            <w:r>
              <w:rPr>
                <w:rFonts w:cs="Calibri"/>
                <w:b/>
                <w:sz w:val="18"/>
                <w:szCs w:val="18"/>
              </w:rPr>
              <w:t>Odniesienie Charakterystyk II stopnia Polskiej Ramy Kwalifikacji *</w:t>
            </w:r>
          </w:p>
        </w:tc>
      </w:tr>
      <w:tr w:rsidR="00E330BE"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E" w:rsidRDefault="00C43650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W zakresie wiedzy</w:t>
            </w:r>
          </w:p>
        </w:tc>
      </w:tr>
      <w:tr w:rsidR="00E330BE">
        <w:trPr>
          <w:trHeight w:val="293"/>
        </w:trPr>
        <w:tc>
          <w:tcPr>
            <w:tcW w:w="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E" w:rsidRPr="00852EC1" w:rsidRDefault="00C43650">
            <w:pPr>
              <w:spacing w:after="0" w:line="240" w:lineRule="auto"/>
            </w:pPr>
            <w:r w:rsidRPr="00852EC1">
              <w:t>W01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E" w:rsidRPr="00852EC1" w:rsidRDefault="00C43650">
            <w:pPr>
              <w:spacing w:after="0" w:line="240" w:lineRule="auto"/>
            </w:pPr>
            <w:r w:rsidRPr="00852EC1">
              <w:rPr>
                <w:rFonts w:ascii="Arial" w:hAnsi="Arial"/>
                <w:shd w:val="clear" w:color="auto" w:fill="FAF9F8"/>
              </w:rPr>
              <w:t>posiada ogólną znajomość budowy i funkcjonowania organizmu człowieka, rozumie istotę procesów fizjologicznych zachodzących w ludzkim organizmie pod wpływem ukierunkowanych ćwiczeń fizycznych i zabiegów odnowy psychosomatycznej.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E" w:rsidRPr="00852EC1" w:rsidRDefault="00C43650">
            <w:pPr>
              <w:spacing w:after="0" w:line="240" w:lineRule="auto"/>
            </w:pPr>
            <w:r w:rsidRPr="00852EC1">
              <w:rPr>
                <w:rFonts w:ascii="Arial" w:hAnsi="Arial"/>
                <w:shd w:val="clear" w:color="auto" w:fill="FAF9F8"/>
              </w:rPr>
              <w:t>W02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Pr="00852EC1" w:rsidRDefault="00C43650">
            <w:pPr>
              <w:spacing w:after="0" w:line="240" w:lineRule="auto"/>
            </w:pPr>
            <w:r w:rsidRPr="00852EC1">
              <w:rPr>
                <w:rFonts w:ascii="Arial" w:hAnsi="Arial"/>
                <w:shd w:val="clear" w:color="auto" w:fill="FAF9F8"/>
              </w:rPr>
              <w:t>P6S_WG</w:t>
            </w:r>
          </w:p>
        </w:tc>
      </w:tr>
      <w:tr w:rsidR="00E330BE">
        <w:trPr>
          <w:trHeight w:val="293"/>
        </w:trPr>
        <w:tc>
          <w:tcPr>
            <w:tcW w:w="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Pr="00852EC1" w:rsidRDefault="00C43650">
            <w:pPr>
              <w:spacing w:after="0" w:line="240" w:lineRule="auto"/>
              <w:rPr>
                <w:rFonts w:cs="Calibri"/>
              </w:rPr>
            </w:pPr>
            <w:r w:rsidRPr="00852EC1">
              <w:rPr>
                <w:rFonts w:cs="Calibri"/>
              </w:rPr>
              <w:t>W02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Pr="00852EC1" w:rsidRDefault="00C43650">
            <w:pPr>
              <w:pStyle w:val="Akapitzlist"/>
              <w:ind w:left="0"/>
              <w:rPr>
                <w:sz w:val="22"/>
                <w:szCs w:val="22"/>
              </w:rPr>
            </w:pPr>
            <w:r w:rsidRPr="00852EC1">
              <w:rPr>
                <w:rFonts w:ascii="Arial" w:hAnsi="Arial" w:cs="Arial"/>
                <w:sz w:val="22"/>
                <w:szCs w:val="22"/>
                <w:shd w:val="clear" w:color="auto" w:fill="FAF9F8"/>
              </w:rPr>
              <w:t>ma podstawową wiedzę o celach i funkcjach edukacji zdrowotnej oraz o zasadach promocji zdrowia i prozdrowotnego trybu życia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Pr="00852EC1" w:rsidRDefault="00C43650">
            <w:pPr>
              <w:spacing w:after="0" w:line="240" w:lineRule="auto"/>
              <w:rPr>
                <w:rFonts w:cs="Calibri"/>
              </w:rPr>
            </w:pPr>
            <w:r w:rsidRPr="00852EC1">
              <w:rPr>
                <w:rFonts w:cs="Calibri"/>
              </w:rPr>
              <w:t>W06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Pr="00852EC1" w:rsidRDefault="00C43650">
            <w:pPr>
              <w:spacing w:after="0" w:line="240" w:lineRule="auto"/>
            </w:pPr>
            <w:r w:rsidRPr="00852EC1">
              <w:rPr>
                <w:rFonts w:ascii="Arial" w:hAnsi="Arial"/>
                <w:shd w:val="clear" w:color="auto" w:fill="FAF9F8"/>
              </w:rPr>
              <w:t>P6S_WK</w:t>
            </w:r>
          </w:p>
        </w:tc>
      </w:tr>
      <w:tr w:rsidR="00E330BE">
        <w:trPr>
          <w:trHeight w:val="293"/>
        </w:trPr>
        <w:tc>
          <w:tcPr>
            <w:tcW w:w="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Pr="00852EC1" w:rsidRDefault="00C43650">
            <w:pPr>
              <w:spacing w:after="0" w:line="240" w:lineRule="auto"/>
              <w:rPr>
                <w:rFonts w:cs="Calibri"/>
              </w:rPr>
            </w:pPr>
            <w:r w:rsidRPr="00852EC1">
              <w:rPr>
                <w:rFonts w:cs="Calibri"/>
              </w:rPr>
              <w:t>W03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Pr="00852EC1" w:rsidRDefault="00C43650">
            <w:pPr>
              <w:pStyle w:val="Akapitzlist"/>
              <w:ind w:left="0"/>
              <w:rPr>
                <w:sz w:val="22"/>
                <w:szCs w:val="22"/>
              </w:rPr>
            </w:pPr>
            <w:r w:rsidRPr="00852EC1">
              <w:rPr>
                <w:rFonts w:ascii="Arial" w:hAnsi="Arial" w:cs="Arial"/>
                <w:sz w:val="22"/>
                <w:szCs w:val="22"/>
                <w:shd w:val="clear" w:color="auto" w:fill="FAF9F8"/>
              </w:rPr>
              <w:t>posiada podstawową wiedzę o zasadach programowania i realizacji rekreacyjnych zajęć ruchowych oraz  treningu zdrowotnego.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Pr="00852EC1" w:rsidRDefault="00C43650">
            <w:pPr>
              <w:spacing w:after="0" w:line="240" w:lineRule="auto"/>
              <w:rPr>
                <w:rFonts w:cs="Calibri"/>
              </w:rPr>
            </w:pPr>
            <w:r w:rsidRPr="00852EC1">
              <w:rPr>
                <w:rFonts w:cs="Calibri"/>
              </w:rPr>
              <w:t>W09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Pr="00852EC1" w:rsidRDefault="00C43650">
            <w:pPr>
              <w:spacing w:after="0" w:line="240" w:lineRule="auto"/>
            </w:pPr>
            <w:r w:rsidRPr="00852EC1">
              <w:rPr>
                <w:rFonts w:ascii="Arial" w:hAnsi="Arial"/>
                <w:shd w:val="clear" w:color="auto" w:fill="FAF9F8"/>
              </w:rPr>
              <w:t>P6S_WK</w:t>
            </w:r>
          </w:p>
        </w:tc>
      </w:tr>
      <w:tr w:rsidR="00E330BE">
        <w:trPr>
          <w:trHeight w:val="48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E" w:rsidRDefault="00C43650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W zakresie umiejętności</w:t>
            </w:r>
          </w:p>
        </w:tc>
      </w:tr>
      <w:tr w:rsidR="00E330BE">
        <w:trPr>
          <w:trHeight w:val="293"/>
        </w:trPr>
        <w:tc>
          <w:tcPr>
            <w:tcW w:w="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  <w:jc w:val="both"/>
            </w:pPr>
            <w:r>
              <w:rPr>
                <w:rFonts w:ascii="Arial" w:hAnsi="Arial"/>
                <w:shd w:val="clear" w:color="auto" w:fill="FAF9F8"/>
              </w:rPr>
              <w:t>potrafi zaplanować, zorganizować i przeprowadzić rekreacyjne zajęcia ruchowe dostosowane do warunków, możliwości, potrzeb oraz zainteresowań uczestników.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</w:pPr>
            <w:r>
              <w:rPr>
                <w:rFonts w:ascii="Arial" w:hAnsi="Arial"/>
                <w:shd w:val="clear" w:color="auto" w:fill="FAF9F8"/>
              </w:rPr>
              <w:t>U02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</w:pPr>
            <w:r>
              <w:rPr>
                <w:rFonts w:ascii="Arial" w:hAnsi="Arial"/>
                <w:shd w:val="clear" w:color="auto" w:fill="FAF9F8"/>
              </w:rPr>
              <w:t>P6S_UO</w:t>
            </w:r>
          </w:p>
        </w:tc>
      </w:tr>
      <w:tr w:rsidR="00E330BE">
        <w:trPr>
          <w:trHeight w:val="293"/>
        </w:trPr>
        <w:tc>
          <w:tcPr>
            <w:tcW w:w="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  <w:jc w:val="both"/>
            </w:pPr>
            <w:r>
              <w:rPr>
                <w:rFonts w:ascii="Arial" w:hAnsi="Arial"/>
                <w:shd w:val="clear" w:color="auto" w:fill="FAF9F8"/>
              </w:rPr>
              <w:t>posiada specjalistyczne umiejętności ruchowe z zakresu wybranych form rekreacyjnej aktywności fizycznej, pozwalające na prowadzenie zajęć z osobami w różnym wieku.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</w:pPr>
            <w:r>
              <w:rPr>
                <w:rFonts w:ascii="Arial" w:hAnsi="Arial"/>
                <w:shd w:val="clear" w:color="auto" w:fill="FAF9F8"/>
              </w:rPr>
              <w:t>U05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</w:pPr>
            <w:r>
              <w:rPr>
                <w:rFonts w:ascii="Arial" w:hAnsi="Arial"/>
                <w:shd w:val="clear" w:color="auto" w:fill="FAF9F8"/>
              </w:rPr>
              <w:t>P6S_UW</w:t>
            </w:r>
          </w:p>
        </w:tc>
      </w:tr>
      <w:tr w:rsidR="00E330BE">
        <w:trPr>
          <w:trHeight w:val="293"/>
        </w:trPr>
        <w:tc>
          <w:tcPr>
            <w:tcW w:w="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  <w:jc w:val="both"/>
            </w:pPr>
            <w:r>
              <w:rPr>
                <w:rFonts w:ascii="Arial" w:hAnsi="Arial"/>
                <w:shd w:val="clear" w:color="auto" w:fill="FAF9F8"/>
              </w:rPr>
              <w:t>posiada podstawowe umiejętności realizacji zadań zawodowych w wybranej specjalności.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</w:pPr>
            <w:r>
              <w:rPr>
                <w:rFonts w:ascii="Arial" w:hAnsi="Arial"/>
                <w:shd w:val="clear" w:color="auto" w:fill="FAF9F8"/>
              </w:rPr>
              <w:t>U16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</w:pPr>
            <w:r>
              <w:rPr>
                <w:rFonts w:ascii="Arial" w:hAnsi="Arial"/>
                <w:shd w:val="clear" w:color="auto" w:fill="FAF9F8"/>
              </w:rPr>
              <w:t>P6S_UO</w:t>
            </w:r>
          </w:p>
        </w:tc>
      </w:tr>
      <w:tr w:rsidR="00E330BE">
        <w:trPr>
          <w:trHeight w:val="572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E" w:rsidRDefault="00C43650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W zakresie kompetencji społecznych</w:t>
            </w:r>
          </w:p>
        </w:tc>
      </w:tr>
      <w:tr w:rsidR="00E330BE">
        <w:trPr>
          <w:trHeight w:val="293"/>
        </w:trPr>
        <w:tc>
          <w:tcPr>
            <w:tcW w:w="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  <w:jc w:val="both"/>
            </w:pPr>
            <w:r>
              <w:rPr>
                <w:rFonts w:ascii="Arial" w:hAnsi="Arial"/>
                <w:shd w:val="clear" w:color="auto" w:fill="FAF9F8"/>
              </w:rPr>
              <w:t>prowadzi prozdrowotny styl życia, dba o optymalny poziom sprawności fizycznej oraz prawidłową sylwetkę ciała.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</w:pPr>
            <w:r>
              <w:rPr>
                <w:rFonts w:ascii="Arial" w:hAnsi="Arial"/>
                <w:shd w:val="clear" w:color="auto" w:fill="FAF9F8"/>
              </w:rPr>
              <w:t>K02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</w:pPr>
            <w:r>
              <w:rPr>
                <w:rFonts w:ascii="Arial" w:hAnsi="Arial"/>
                <w:shd w:val="clear" w:color="auto" w:fill="FAF9F8"/>
              </w:rPr>
              <w:t>P6S_KR</w:t>
            </w:r>
          </w:p>
        </w:tc>
      </w:tr>
      <w:tr w:rsidR="00E330BE">
        <w:trPr>
          <w:trHeight w:val="293"/>
        </w:trPr>
        <w:tc>
          <w:tcPr>
            <w:tcW w:w="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  <w:jc w:val="both"/>
            </w:pPr>
            <w:r>
              <w:rPr>
                <w:rFonts w:ascii="Arial" w:hAnsi="Arial"/>
                <w:shd w:val="clear" w:color="auto" w:fill="FAF9F8"/>
              </w:rPr>
              <w:t>jest gotowy do uzupełniania i doskonalenia kwalifikacji –potrafi samodzielnie zdobywać wiedzę i umiejętności w zakresie specjalności zawodowej.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</w:pPr>
            <w:r>
              <w:rPr>
                <w:rFonts w:ascii="Arial" w:hAnsi="Arial"/>
                <w:shd w:val="clear" w:color="auto" w:fill="FAF9F8"/>
              </w:rPr>
              <w:t>K09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</w:pPr>
            <w:r>
              <w:rPr>
                <w:rFonts w:ascii="Arial" w:hAnsi="Arial"/>
                <w:shd w:val="clear" w:color="auto" w:fill="FAF9F8"/>
              </w:rPr>
              <w:t>P6S_KK</w:t>
            </w:r>
          </w:p>
        </w:tc>
      </w:tr>
      <w:tr w:rsidR="00E330BE">
        <w:trPr>
          <w:trHeight w:val="293"/>
        </w:trPr>
        <w:tc>
          <w:tcPr>
            <w:tcW w:w="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  <w:jc w:val="both"/>
            </w:pPr>
            <w:r>
              <w:rPr>
                <w:rFonts w:ascii="Arial" w:hAnsi="Arial"/>
                <w:shd w:val="clear" w:color="auto" w:fill="FAF9F8"/>
              </w:rPr>
              <w:t>jest świadomy ograniczeń we własnych kompetencjach i wie kiedy zwrócić się o pomoc ekspercką.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</w:pPr>
            <w:r>
              <w:rPr>
                <w:rFonts w:ascii="Arial" w:hAnsi="Arial"/>
                <w:shd w:val="clear" w:color="auto" w:fill="FAF9F8"/>
              </w:rPr>
              <w:t>K12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</w:pPr>
            <w:r>
              <w:rPr>
                <w:rFonts w:ascii="Arial" w:hAnsi="Arial"/>
                <w:shd w:val="clear" w:color="auto" w:fill="FAF9F8"/>
              </w:rPr>
              <w:t>P6S_KK</w:t>
            </w:r>
          </w:p>
        </w:tc>
      </w:tr>
    </w:tbl>
    <w:p w:rsidR="00E330BE" w:rsidRDefault="00E330BE">
      <w:pPr>
        <w:spacing w:after="0" w:line="240" w:lineRule="auto"/>
        <w:rPr>
          <w:rFonts w:cs="Calibri"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E330BE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E" w:rsidRDefault="00C4365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Stosowane metody dydaktyczne</w:t>
            </w:r>
          </w:p>
        </w:tc>
      </w:tr>
      <w:tr w:rsidR="00E330BE">
        <w:trPr>
          <w:trHeight w:val="38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E" w:rsidRDefault="00C43650">
            <w:pPr>
              <w:spacing w:after="0" w:line="240" w:lineRule="auto"/>
              <w:jc w:val="both"/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wykład informacyjny, objaśnienie, dyskusja dydaktyczna, film dydaktyczny, ćwiczenia praktyczne, opis, ćwiczenia w grupach, lekcje poglądowe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</w:tr>
    </w:tbl>
    <w:p w:rsidR="00E330BE" w:rsidRDefault="00E330BE">
      <w:pPr>
        <w:spacing w:after="0" w:line="240" w:lineRule="auto"/>
        <w:rPr>
          <w:rFonts w:cs="Calibri"/>
        </w:rPr>
      </w:pPr>
    </w:p>
    <w:tbl>
      <w:tblPr>
        <w:tblW w:w="10642" w:type="dxa"/>
        <w:tblInd w:w="-5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42"/>
      </w:tblGrid>
      <w:tr w:rsidR="00E330BE">
        <w:tc>
          <w:tcPr>
            <w:tcW w:w="10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0BE" w:rsidRDefault="00C43650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Metody sprawdzania i kryteria oceny efektów uczenia się uzyskanych przez studentów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</w:tr>
      <w:tr w:rsidR="00E330BE">
        <w:trPr>
          <w:trHeight w:val="2700"/>
        </w:trPr>
        <w:tc>
          <w:tcPr>
            <w:tcW w:w="10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0BE" w:rsidRDefault="00C43650" w:rsidP="00BC1F39">
            <w:pPr>
              <w:suppressAutoHyphens w:val="0"/>
              <w:spacing w:after="0" w:line="240" w:lineRule="auto"/>
              <w:ind w:firstLine="151"/>
            </w:pPr>
            <w:r>
              <w:rPr>
                <w:rFonts w:eastAsia="Times New Roman" w:cs="Calibri"/>
                <w:lang w:eastAsia="pl-PL"/>
              </w:rPr>
              <w:t>- obecność oraz aktywny udział na zajęciach, opanowanie poszczególnych  elementów technicznych</w:t>
            </w:r>
          </w:p>
          <w:p w:rsidR="00E330BE" w:rsidRDefault="00C43650">
            <w:pPr>
              <w:suppressAutoHyphens w:val="0"/>
              <w:spacing w:after="0" w:line="240" w:lineRule="auto"/>
              <w:ind w:firstLine="705"/>
            </w:pPr>
            <w:r>
              <w:rPr>
                <w:rFonts w:eastAsia="Times New Roman" w:cs="Calibri"/>
                <w:b/>
                <w:bCs/>
                <w:lang w:eastAsia="pl-PL"/>
              </w:rPr>
              <w:t>Na podstawie sprawdzianu pisemnego: </w:t>
            </w:r>
            <w:r>
              <w:rPr>
                <w:rFonts w:eastAsia="Times New Roman" w:cs="Calibri"/>
                <w:lang w:eastAsia="pl-PL"/>
              </w:rPr>
              <w:t>  </w:t>
            </w:r>
          </w:p>
          <w:p w:rsidR="00E330BE" w:rsidRDefault="00C43650">
            <w:pPr>
              <w:suppressAutoHyphens w:val="0"/>
              <w:spacing w:after="0" w:line="240" w:lineRule="auto"/>
              <w:ind w:firstLine="705"/>
            </w:pPr>
            <w:r>
              <w:rPr>
                <w:rFonts w:eastAsia="Times New Roman" w:cs="Calibri"/>
                <w:lang w:eastAsia="pl-PL"/>
              </w:rPr>
              <w:t>2,0 – student osiągnął punktację z testu poniżej 50 %  </w:t>
            </w:r>
          </w:p>
          <w:p w:rsidR="00E330BE" w:rsidRDefault="00C43650">
            <w:pPr>
              <w:suppressAutoHyphens w:val="0"/>
              <w:spacing w:after="0" w:line="240" w:lineRule="auto"/>
              <w:ind w:firstLine="705"/>
            </w:pPr>
            <w:r>
              <w:rPr>
                <w:rFonts w:eastAsia="Times New Roman" w:cs="Calibri"/>
                <w:lang w:eastAsia="pl-PL"/>
              </w:rPr>
              <w:t>3,0 – student osiągnął punktację z testu od 51 do 60 %  </w:t>
            </w:r>
          </w:p>
          <w:p w:rsidR="00E330BE" w:rsidRDefault="00C43650">
            <w:pPr>
              <w:suppressAutoHyphens w:val="0"/>
              <w:spacing w:after="0" w:line="240" w:lineRule="auto"/>
              <w:ind w:firstLine="705"/>
            </w:pPr>
            <w:r>
              <w:rPr>
                <w:rFonts w:eastAsia="Times New Roman" w:cs="Calibri"/>
                <w:lang w:eastAsia="pl-PL"/>
              </w:rPr>
              <w:t>3,5 – student osiągnął punktację z testu od 61 do 70 %  </w:t>
            </w:r>
          </w:p>
          <w:p w:rsidR="00E330BE" w:rsidRDefault="00C43650">
            <w:pPr>
              <w:suppressAutoHyphens w:val="0"/>
              <w:spacing w:after="0" w:line="240" w:lineRule="auto"/>
              <w:ind w:firstLine="705"/>
            </w:pPr>
            <w:r>
              <w:rPr>
                <w:rFonts w:eastAsia="Times New Roman" w:cs="Calibri"/>
                <w:lang w:eastAsia="pl-PL"/>
              </w:rPr>
              <w:t>4,0 – student osiągnął punktację z testu poniżej 71 do 80 %  </w:t>
            </w:r>
          </w:p>
          <w:p w:rsidR="00E330BE" w:rsidRDefault="00C43650">
            <w:pPr>
              <w:suppressAutoHyphens w:val="0"/>
              <w:spacing w:after="0" w:line="240" w:lineRule="auto"/>
              <w:ind w:firstLine="705"/>
            </w:pPr>
            <w:r>
              <w:rPr>
                <w:rFonts w:eastAsia="Times New Roman" w:cs="Calibri"/>
                <w:lang w:eastAsia="pl-PL"/>
              </w:rPr>
              <w:t>4,5 – student osiągnął punktację z testu poniżej 81 do 90 %  </w:t>
            </w:r>
          </w:p>
          <w:p w:rsidR="00E330BE" w:rsidRDefault="00C43650">
            <w:pPr>
              <w:suppressAutoHyphens w:val="0"/>
              <w:spacing w:after="0" w:line="240" w:lineRule="auto"/>
              <w:ind w:firstLine="705"/>
            </w:pPr>
            <w:r>
              <w:rPr>
                <w:rFonts w:eastAsia="Times New Roman" w:cs="Calibri"/>
                <w:lang w:eastAsia="pl-PL"/>
              </w:rPr>
              <w:t>5,0 – student osiągnął punktację z testu poniżej 91 do 100 %  </w:t>
            </w:r>
          </w:p>
          <w:p w:rsidR="00E330BE" w:rsidRDefault="00C43650">
            <w:pPr>
              <w:suppressAutoHyphens w:val="0"/>
              <w:spacing w:after="0" w:line="240" w:lineRule="auto"/>
              <w:ind w:firstLine="705"/>
            </w:pPr>
            <w:r>
              <w:rPr>
                <w:rFonts w:eastAsia="Times New Roman" w:cs="Calibri"/>
                <w:lang w:eastAsia="pl-PL"/>
              </w:rPr>
              <w:t>  </w:t>
            </w:r>
          </w:p>
          <w:p w:rsidR="00E330BE" w:rsidRDefault="00C43650">
            <w:pPr>
              <w:suppressAutoHyphens w:val="0"/>
              <w:spacing w:after="0" w:line="240" w:lineRule="auto"/>
              <w:ind w:firstLine="705"/>
            </w:pPr>
            <w:r>
              <w:rPr>
                <w:rFonts w:eastAsia="Times New Roman" w:cs="Calibri"/>
                <w:b/>
                <w:bCs/>
                <w:lang w:eastAsia="pl-PL"/>
              </w:rPr>
              <w:t>Na podstawie umiejętności praktycznych:</w:t>
            </w:r>
            <w:r>
              <w:rPr>
                <w:rFonts w:eastAsia="Times New Roman" w:cs="Calibri"/>
                <w:lang w:eastAsia="pl-PL"/>
              </w:rPr>
              <w:t>  </w:t>
            </w:r>
          </w:p>
          <w:p w:rsidR="00E330BE" w:rsidRDefault="00C43650">
            <w:pPr>
              <w:suppressAutoHyphens w:val="0"/>
              <w:spacing w:after="0" w:line="240" w:lineRule="auto"/>
              <w:ind w:firstLine="705"/>
            </w:pPr>
            <w:r>
              <w:rPr>
                <w:rFonts w:eastAsia="Times New Roman" w:cs="Calibri"/>
                <w:lang w:eastAsia="pl-PL"/>
              </w:rPr>
              <w:t>2,0 – student nie osiągnął wymaganych efektów uczenia się, nie wykazał się aktywnością na zajęciach oraz nie potrafi przygotować i przeprowadzić zajęć. </w:t>
            </w:r>
          </w:p>
          <w:p w:rsidR="00E330BE" w:rsidRDefault="00C43650">
            <w:pPr>
              <w:suppressAutoHyphens w:val="0"/>
              <w:spacing w:after="0" w:line="240" w:lineRule="auto"/>
              <w:ind w:firstLine="705"/>
            </w:pPr>
            <w:r>
              <w:rPr>
                <w:rFonts w:eastAsia="Times New Roman" w:cs="Calibri"/>
                <w:lang w:eastAsia="pl-PL"/>
              </w:rPr>
              <w:t>3,0 – student osiągnął efekty uczenia się w stopniu dostatecznym, wykazał się małą aktywnością na zajęciach, przygotowanie i przeprowadzenie zajęć sprawia mu trudność.  </w:t>
            </w:r>
          </w:p>
          <w:p w:rsidR="00E330BE" w:rsidRDefault="00C43650">
            <w:pPr>
              <w:suppressAutoHyphens w:val="0"/>
              <w:spacing w:after="0" w:line="240" w:lineRule="auto"/>
              <w:ind w:firstLine="705"/>
            </w:pPr>
            <w:r>
              <w:rPr>
                <w:rFonts w:eastAsia="Times New Roman" w:cs="Calibri"/>
                <w:lang w:eastAsia="pl-PL"/>
              </w:rPr>
              <w:t>3,5 – student osiągnął efekty uczenia się w stopniu dostatecznym plus, wykazał się średnią aktywnością na zajęciach, przygotowanie i przeprowadzenie zajęć sprawia mu niewielką trudność.  </w:t>
            </w:r>
          </w:p>
          <w:p w:rsidR="00E330BE" w:rsidRDefault="00C43650">
            <w:pPr>
              <w:suppressAutoHyphens w:val="0"/>
              <w:spacing w:after="0" w:line="240" w:lineRule="auto"/>
              <w:ind w:firstLine="705"/>
            </w:pPr>
            <w:r>
              <w:rPr>
                <w:rFonts w:eastAsia="Times New Roman" w:cs="Calibri"/>
                <w:lang w:eastAsia="pl-PL"/>
              </w:rPr>
              <w:t>4,0 – student osiągnął efekty uczenia się w stopniu dobrym, wykazał się średnią aktywnością na zajęciach oraz potrafi dobrze przygotować i przeprowadzić zajęcia.  </w:t>
            </w:r>
          </w:p>
          <w:p w:rsidR="00E330BE" w:rsidRDefault="00C43650">
            <w:pPr>
              <w:suppressAutoHyphens w:val="0"/>
              <w:spacing w:after="0" w:line="240" w:lineRule="auto"/>
              <w:ind w:firstLine="705"/>
            </w:pPr>
            <w:r>
              <w:rPr>
                <w:rFonts w:eastAsia="Times New Roman" w:cs="Calibri"/>
                <w:lang w:eastAsia="pl-PL"/>
              </w:rPr>
              <w:t>4,5 – student osiągnął efekty uczenia się w stopniu dobrym plus, wykazał się dużą aktywnością na zajęciach oraz potrafi dobrze przygotować i przeprowadzić zajęcia.  </w:t>
            </w:r>
          </w:p>
          <w:p w:rsidR="00E330BE" w:rsidRDefault="00C43650" w:rsidP="00852EC1">
            <w:pPr>
              <w:suppressAutoHyphens w:val="0"/>
              <w:spacing w:after="0" w:line="240" w:lineRule="auto"/>
              <w:ind w:firstLine="705"/>
            </w:pPr>
            <w:r>
              <w:rPr>
                <w:rFonts w:eastAsia="Times New Roman" w:cs="Calibri"/>
                <w:lang w:eastAsia="pl-PL"/>
              </w:rPr>
              <w:t>5,0 – student osiągnął efekty uczenia się w stopniu bardzo dobrym, wykazał się dużą aktywnością na zajęciach oraz potrafi bardzo dobrze przygotować i przeprowadzić zajęcia.  </w:t>
            </w:r>
          </w:p>
        </w:tc>
      </w:tr>
    </w:tbl>
    <w:p w:rsidR="00E330BE" w:rsidRDefault="00E330BE">
      <w:pPr>
        <w:spacing w:after="0" w:line="240" w:lineRule="auto"/>
        <w:rPr>
          <w:rFonts w:cs="Calibri"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E330BE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E330BE" w:rsidRDefault="00C4365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Treści programowe przedmiotu 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Godziny</w:t>
            </w:r>
          </w:p>
          <w:p w:rsidR="00E330BE" w:rsidRDefault="00C4365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ST/NST</w:t>
            </w:r>
          </w:p>
        </w:tc>
      </w:tr>
      <w:tr w:rsidR="00E330BE" w:rsidTr="00852EC1">
        <w:trPr>
          <w:trHeight w:val="382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E" w:rsidRDefault="00E330BE">
            <w:pPr>
              <w:pStyle w:val="Akapitzlist"/>
              <w:numPr>
                <w:ilvl w:val="0"/>
                <w:numId w:val="1"/>
              </w:numPr>
              <w:rPr>
                <w:rFonts w:cs="Calibri"/>
              </w:rPr>
            </w:pPr>
          </w:p>
        </w:tc>
        <w:tc>
          <w:tcPr>
            <w:tcW w:w="91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E" w:rsidRPr="00852EC1" w:rsidRDefault="00C43650" w:rsidP="00852E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Wy</w:t>
            </w:r>
            <w:r w:rsidR="00852EC1">
              <w:rPr>
                <w:rFonts w:cs="Calibri"/>
              </w:rPr>
              <w:t>kład: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E330BE">
        <w:trPr>
          <w:trHeight w:val="734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E" w:rsidRDefault="00C4365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E" w:rsidRDefault="00C43650" w:rsidP="00852EC1">
            <w:pPr>
              <w:spacing w:after="0"/>
            </w:pPr>
            <w:r>
              <w:rPr>
                <w:b/>
              </w:rPr>
              <w:t>Ćwiczenia teoretyczne</w:t>
            </w:r>
            <w:r>
              <w:t>:</w:t>
            </w:r>
          </w:p>
          <w:p w:rsidR="00E330BE" w:rsidRDefault="00C43650" w:rsidP="00852EC1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textAlignment w:val="auto"/>
            </w:pPr>
            <w:r>
              <w:rPr>
                <w:szCs w:val="24"/>
              </w:rPr>
              <w:t xml:space="preserve"> Od zabawy do sportu  – ewolucja   badmintona jako gry.</w:t>
            </w:r>
          </w:p>
          <w:p w:rsidR="00E330BE" w:rsidRDefault="00C43650" w:rsidP="00852EC1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textAlignment w:val="auto"/>
            </w:pPr>
            <w:r>
              <w:t xml:space="preserve"> Bezpieczeństwo na zajęciach z badmintona.</w:t>
            </w:r>
          </w:p>
          <w:p w:rsidR="00E330BE" w:rsidRDefault="00C43650" w:rsidP="00852EC1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 Badminton- charakterystyka dyscypliny.</w:t>
            </w:r>
          </w:p>
          <w:p w:rsidR="00E330BE" w:rsidRDefault="00C43650" w:rsidP="00852EC1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 Ogólne tendencje i strategia rozwoju.</w:t>
            </w:r>
          </w:p>
          <w:p w:rsidR="00E330BE" w:rsidRDefault="00C43650" w:rsidP="00852EC1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 Sprzęt do gry w badmintona, rodzaje, zasady doboru, przeznaczenie.</w:t>
            </w:r>
          </w:p>
          <w:p w:rsidR="00E330BE" w:rsidRDefault="00C43650" w:rsidP="00852EC1">
            <w:pPr>
              <w:numPr>
                <w:ilvl w:val="0"/>
                <w:numId w:val="2"/>
              </w:numPr>
              <w:tabs>
                <w:tab w:val="left" w:pos="-660"/>
              </w:tabs>
              <w:suppressAutoHyphens w:val="0"/>
              <w:spacing w:after="0" w:line="240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>Proces szkolenia w badmintonie.</w:t>
            </w:r>
          </w:p>
          <w:p w:rsidR="00E330BE" w:rsidRDefault="00C43650" w:rsidP="00852EC1">
            <w:pPr>
              <w:numPr>
                <w:ilvl w:val="0"/>
                <w:numId w:val="2"/>
              </w:numPr>
              <w:tabs>
                <w:tab w:val="left" w:pos="-660"/>
              </w:tabs>
              <w:suppressAutoHyphens w:val="0"/>
              <w:spacing w:after="0" w:line="240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>Zasady, metody, formy, środki stosowane w przygotowaniu ogólnym i specjalnym.</w:t>
            </w:r>
          </w:p>
          <w:p w:rsidR="00E330BE" w:rsidRDefault="00C43650" w:rsidP="00852EC1">
            <w:pPr>
              <w:numPr>
                <w:ilvl w:val="0"/>
                <w:numId w:val="2"/>
              </w:numPr>
              <w:tabs>
                <w:tab w:val="left" w:pos="-660"/>
              </w:tabs>
              <w:suppressAutoHyphens w:val="0"/>
              <w:spacing w:after="0" w:line="240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>Zawody rekreacyjne: organizacja, sędziowanie, obserwacja, analiza wyników</w:t>
            </w:r>
          </w:p>
          <w:p w:rsidR="00E330BE" w:rsidRDefault="00C43650" w:rsidP="00BC1F39">
            <w:pPr>
              <w:suppressAutoHyphens w:val="0"/>
              <w:spacing w:after="0" w:line="240" w:lineRule="auto"/>
              <w:ind w:left="708" w:hanging="669"/>
              <w:textAlignment w:val="auto"/>
            </w:pPr>
            <w:r>
              <w:rPr>
                <w:rFonts w:cs="Calibri"/>
              </w:rPr>
              <w:t>Ćwiczenia Praktyczne: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 xml:space="preserve"> Rola i miejsce ćwiczeń oswajających ze sprzętem do gry w badmintona 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 xml:space="preserve">Rola i miejsce ćwiczeń oswajających ze sprzętem do gry   w badmintona 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 xml:space="preserve">Gry i zabawy z wykorzystanie sprzętu do gry w badmintona 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>Gry i zabawy z wykorzystanie sprzętu do gry w badmintona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>Nauka podstawowych chwytów rakiety – chwyt forhendowy, chwyt bekhendowy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>Podstawowe pozycje przyjmowane w grze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>Rodzaje uderzeń w badmintonie - pokaz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>Podstawowe pozycje przyjmowane w grze – w grze potok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lastRenderedPageBreak/>
              <w:t>Podstawowe elementy techniki gry – serw forhendowy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 xml:space="preserve">Poruszanie się zawodnika po boisku 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>Nauka i doskonalenie poznanych elementów w grze pojedynczej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>Realizacja badmintonowej imprezy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 xml:space="preserve">Nauka i doskonalenie poznanych elementów technicznych 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>Doskonalenia wybranych elementów techniki gry – serw bekhendowy krótki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>Doskonalenia wybranych elementów techniki gry – uderzenie płaskie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>Gry i zabawy z wykorzystanie sprzętu do gry w badmintona – zabawy do nauki gry podwójnej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>Gry i zabawy z wykorzystanie sprzętu do gry w badmintona – zabawy do nauki gry podwójnej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>Sposoby poruszania się zawodnika w grze podwójnej – ustawienie atakująco-obronne –nauka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 xml:space="preserve"> Sposoby poruszania się zawodnika w grze podwójnej – ustawienie atakująco-obronne -nauka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>Gra przy siatce po zagrywce krótkiej, obrona środka boiska w ustawieniu obronnym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 xml:space="preserve">Doskonalenie wybranych elementów technicznych forhendowych i bekhendowych. 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>Doskonalenie wybranych elementów technicznych forhendowych i bekhendowych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 xml:space="preserve">Gra szkolna z elementami taktyki – gra pojedyncza i gra podwójna (debel) 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>Pokaz przygotowujący do gry mieszanej – gra szkolna – Taktyka gry mieszanej.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 xml:space="preserve">Gra szkolna z elementami taktyki – gra pojedyncza i gra podwójna (debel) 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 xml:space="preserve"> Taktyka gry mieszanej 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>Doskonalenie wybranych elementów techniki  gry ( 7 elementów zaliczenie )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>Doskonalenie wybranych elementów techniki gry  ( 7 elementów zaliczenie )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 xml:space="preserve">Organizacja zawodów sportowych, losowanie sędziów głównych (kategoria kobiet i mężczyzn) pełnienie roli zawodnika, sędziego; </w:t>
            </w:r>
          </w:p>
          <w:p w:rsidR="00E330BE" w:rsidRDefault="00C43650" w:rsidP="00BC1F39">
            <w:pPr>
              <w:numPr>
                <w:ilvl w:val="0"/>
                <w:numId w:val="3"/>
              </w:numPr>
              <w:tabs>
                <w:tab w:val="left" w:pos="2340"/>
              </w:tabs>
              <w:suppressAutoHyphens w:val="0"/>
              <w:spacing w:after="0" w:line="240" w:lineRule="auto"/>
              <w:ind w:left="465" w:hanging="284"/>
              <w:textAlignment w:val="auto"/>
            </w:pPr>
            <w:r>
              <w:t xml:space="preserve">Organizacja zawodów sportowych, losowanie sędziów głównych (kategoria kobiet i mężczyzn) pełnienie roli zawodnika, sędziego Uzupełnianie zaliczeń;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78</w:t>
            </w:r>
          </w:p>
        </w:tc>
      </w:tr>
      <w:tr w:rsidR="00E330BE"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E" w:rsidRDefault="00C4365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Forma i warunki zaliczenia przedmiotu, w tym zasady dopuszczenia do egzaminu, zaliczenia</w:t>
            </w:r>
          </w:p>
        </w:tc>
      </w:tr>
      <w:tr w:rsidR="00E330BE">
        <w:trPr>
          <w:trHeight w:val="406"/>
        </w:trPr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E" w:rsidRDefault="00C43650" w:rsidP="00852EC1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Zaliczenie testu teoretycznego z zakresu wiedzy historycznej, sprzętu i przepisów gry w badmintona.</w:t>
            </w:r>
          </w:p>
          <w:p w:rsidR="00E330BE" w:rsidRDefault="00C43650" w:rsidP="00852EC1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Ocena sposobu prowadzenia zajęć z zakresu metodyki nauczania podstawowych elementów technicznych.</w:t>
            </w:r>
          </w:p>
          <w:p w:rsidR="00E330BE" w:rsidRDefault="00C43650" w:rsidP="00852EC1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Wykonanie minimum zaliczeniowych – (poprawne wykonanie pięciu elementów technicznych gry w postaci sekwencji):</w:t>
            </w:r>
          </w:p>
          <w:p w:rsidR="00E330BE" w:rsidRDefault="00C43650" w:rsidP="00852EC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textAlignment w:val="auto"/>
            </w:pPr>
            <w:r>
              <w:rPr>
                <w:rFonts w:cs="Calibri"/>
                <w:b/>
              </w:rPr>
              <w:t>Clir,</w:t>
            </w:r>
          </w:p>
          <w:p w:rsidR="00E330BE" w:rsidRDefault="00C43650" w:rsidP="00852EC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textAlignment w:val="auto"/>
            </w:pPr>
            <w:r>
              <w:rPr>
                <w:rFonts w:cs="Calibri"/>
                <w:b/>
              </w:rPr>
              <w:t>Drop,</w:t>
            </w:r>
          </w:p>
          <w:p w:rsidR="00E330BE" w:rsidRDefault="00C43650" w:rsidP="00852EC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textAlignment w:val="auto"/>
            </w:pPr>
            <w:r>
              <w:rPr>
                <w:rFonts w:cs="Calibri"/>
                <w:b/>
              </w:rPr>
              <w:t>Smecz</w:t>
            </w:r>
          </w:p>
          <w:p w:rsidR="00E330BE" w:rsidRDefault="00C43650" w:rsidP="00852EC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textAlignment w:val="auto"/>
            </w:pPr>
            <w:r>
              <w:rPr>
                <w:rFonts w:cs="Calibri"/>
                <w:b/>
              </w:rPr>
              <w:t>Draiw</w:t>
            </w:r>
          </w:p>
          <w:p w:rsidR="00E330BE" w:rsidRDefault="00C43650" w:rsidP="00852EC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textAlignment w:val="auto"/>
            </w:pPr>
            <w:r>
              <w:rPr>
                <w:rFonts w:cs="Calibri"/>
                <w:b/>
              </w:rPr>
              <w:t>Lob</w:t>
            </w:r>
          </w:p>
          <w:p w:rsidR="00E330BE" w:rsidRDefault="00C43650" w:rsidP="00852EC1">
            <w:pPr>
              <w:spacing w:after="0" w:line="240" w:lineRule="auto"/>
              <w:jc w:val="both"/>
            </w:pPr>
            <w:r>
              <w:rPr>
                <w:rFonts w:ascii="Palatino Linotype" w:hAnsi="Palatino Linotype"/>
              </w:rPr>
              <w:t>Pozytywnie zdany egzamin końcowy teoretyczno-praktyczny.</w:t>
            </w:r>
          </w:p>
        </w:tc>
      </w:tr>
    </w:tbl>
    <w:p w:rsidR="00E330BE" w:rsidRDefault="00E330BE">
      <w:pPr>
        <w:spacing w:after="0" w:line="240" w:lineRule="auto"/>
        <w:rPr>
          <w:rFonts w:cs="Calibri"/>
        </w:rPr>
      </w:pPr>
    </w:p>
    <w:tbl>
      <w:tblPr>
        <w:tblW w:w="10216" w:type="dxa"/>
        <w:tblInd w:w="-5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5"/>
        <w:gridCol w:w="1897"/>
        <w:gridCol w:w="1984"/>
      </w:tblGrid>
      <w:tr w:rsidR="00E330BE" w:rsidTr="00852EC1"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0BE" w:rsidRDefault="00C43650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Nakład pracy studenta - bilans punktów ECTS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0BE" w:rsidRDefault="00C43650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Stacjonarne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0BE" w:rsidRDefault="00C43650">
            <w:pPr>
              <w:suppressAutoHyphens w:val="0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Niestacjonarne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</w:tr>
      <w:tr w:rsidR="00E330BE" w:rsidTr="00852EC1">
        <w:trPr>
          <w:trHeight w:val="300"/>
        </w:trPr>
        <w:tc>
          <w:tcPr>
            <w:tcW w:w="63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0BE" w:rsidRDefault="00C43650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lang w:eastAsia="pl-PL"/>
              </w:rPr>
              <w:t>Godziny kontaktowe z nauczycielem akademickim:</w:t>
            </w:r>
            <w:r>
              <w:rPr>
                <w:rFonts w:eastAsia="Times New Roman" w:cs="Calibri"/>
                <w:lang w:eastAsia="pl-PL"/>
              </w:rPr>
              <w:t> </w:t>
            </w:r>
          </w:p>
          <w:p w:rsidR="00E330BE" w:rsidRDefault="00C43650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lang w:eastAsia="pl-PL"/>
              </w:rPr>
              <w:t>Udział w ćwiczeniach</w:t>
            </w:r>
            <w:r>
              <w:rPr>
                <w:rFonts w:eastAsia="Times New Roman" w:cs="Calibri"/>
                <w:lang w:eastAsia="pl-PL"/>
              </w:rPr>
              <w:t> </w:t>
            </w:r>
          </w:p>
          <w:p w:rsidR="00E330BE" w:rsidRDefault="00C43650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lang w:eastAsia="pl-PL"/>
              </w:rPr>
              <w:t>Konsultacje</w:t>
            </w:r>
            <w:r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897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0BE" w:rsidRDefault="00C43650">
            <w:pPr>
              <w:suppressAutoHyphens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82 godziny: </w:t>
            </w:r>
            <w:r>
              <w:rPr>
                <w:rFonts w:eastAsia="Times New Roman" w:cs="Calibri"/>
                <w:lang w:eastAsia="pl-PL"/>
              </w:rPr>
              <w:br/>
              <w:t>78 godz. ćwiczeń </w:t>
            </w:r>
          </w:p>
          <w:p w:rsidR="00E330BE" w:rsidRDefault="00C43650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lang w:eastAsia="pl-PL"/>
              </w:rPr>
              <w:t>4 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0BE" w:rsidRDefault="00C43650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E330BE" w:rsidTr="00BC1F39">
        <w:trPr>
          <w:trHeight w:val="389"/>
        </w:trPr>
        <w:tc>
          <w:tcPr>
            <w:tcW w:w="63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0BE" w:rsidRDefault="00C43650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7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0BE" w:rsidRDefault="00C43650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lang w:eastAsia="pl-PL"/>
              </w:rPr>
              <w:t>  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0BE" w:rsidRDefault="00C43650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E330BE" w:rsidTr="00852EC1">
        <w:trPr>
          <w:trHeight w:val="300"/>
        </w:trPr>
        <w:tc>
          <w:tcPr>
            <w:tcW w:w="63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0BE" w:rsidRDefault="00C43650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lang w:eastAsia="pl-PL"/>
              </w:rPr>
              <w:t>Samodzielna praca studenta:</w:t>
            </w:r>
            <w:r>
              <w:rPr>
                <w:rFonts w:eastAsia="Times New Roman" w:cs="Calibri"/>
                <w:lang w:eastAsia="pl-PL"/>
              </w:rPr>
              <w:t> </w:t>
            </w:r>
          </w:p>
          <w:p w:rsidR="00E330BE" w:rsidRDefault="00C43650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lang w:eastAsia="pl-PL"/>
              </w:rPr>
              <w:t>Praca własna</w:t>
            </w:r>
            <w:r>
              <w:rPr>
                <w:rFonts w:eastAsia="Times New Roman" w:cs="Calibri"/>
                <w:lang w:eastAsia="pl-PL"/>
              </w:rPr>
              <w:t> </w:t>
            </w:r>
          </w:p>
          <w:p w:rsidR="00E330BE" w:rsidRDefault="00C43650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lang w:eastAsia="pl-PL"/>
              </w:rPr>
              <w:t>Praca z literaturą</w:t>
            </w:r>
            <w:r>
              <w:rPr>
                <w:rFonts w:eastAsia="Times New Roman" w:cs="Calibri"/>
                <w:lang w:eastAsia="pl-PL"/>
              </w:rPr>
              <w:t> </w:t>
            </w:r>
          </w:p>
          <w:p w:rsidR="00E330BE" w:rsidRDefault="00C43650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lang w:eastAsia="pl-PL"/>
              </w:rPr>
              <w:t>Przygotowanie lekcji egzaminacyjnej</w:t>
            </w:r>
            <w:r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897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0BE" w:rsidRDefault="00C43650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 godziny: </w:t>
            </w:r>
          </w:p>
          <w:p w:rsidR="00E330BE" w:rsidRDefault="00C43650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40 </w:t>
            </w:r>
          </w:p>
          <w:p w:rsidR="00E330BE" w:rsidRDefault="00C43650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</w:t>
            </w:r>
          </w:p>
          <w:p w:rsidR="00E330BE" w:rsidRDefault="00C43650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</w:t>
            </w:r>
          </w:p>
        </w:tc>
        <w:tc>
          <w:tcPr>
            <w:tcW w:w="1984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0BE" w:rsidRDefault="00C43650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E330BE" w:rsidTr="00BC1F39">
        <w:trPr>
          <w:trHeight w:val="80"/>
        </w:trPr>
        <w:tc>
          <w:tcPr>
            <w:tcW w:w="6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0BE" w:rsidRDefault="00C43650" w:rsidP="00852EC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lang w:eastAsia="pl-PL"/>
              </w:rPr>
              <w:t>  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0BE" w:rsidRDefault="00C43650" w:rsidP="00852EC1">
            <w:pPr>
              <w:suppressAutoHyphens w:val="0"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0BE" w:rsidRDefault="00C43650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E330BE" w:rsidTr="00852EC1">
        <w:trPr>
          <w:trHeight w:val="375"/>
        </w:trPr>
        <w:tc>
          <w:tcPr>
            <w:tcW w:w="102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0BE" w:rsidRDefault="00C43650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Łączny nakład pracy studenta wynosi:</w:t>
            </w:r>
            <w:r>
              <w:rPr>
                <w:rFonts w:eastAsia="Times New Roman" w:cs="Calibri"/>
                <w:lang w:eastAsia="pl-PL"/>
              </w:rPr>
              <w:t> </w:t>
            </w:r>
            <w:r>
              <w:rPr>
                <w:rFonts w:eastAsia="Times New Roman" w:cs="Calibri"/>
                <w:b/>
                <w:bCs/>
                <w:lang w:eastAsia="pl-PL"/>
              </w:rPr>
              <w:t> 156  godziny</w:t>
            </w:r>
            <w:r>
              <w:rPr>
                <w:rFonts w:eastAsia="Times New Roman" w:cs="Calibri"/>
                <w:lang w:eastAsia="pl-PL"/>
              </w:rPr>
              <w:t>, co odpowiada </w:t>
            </w:r>
            <w:r>
              <w:rPr>
                <w:rFonts w:eastAsia="Times New Roman" w:cs="Calibri"/>
                <w:b/>
                <w:bCs/>
                <w:lang w:eastAsia="pl-PL"/>
              </w:rPr>
              <w:t>   6 punktom ECTS</w:t>
            </w:r>
            <w:r>
              <w:rPr>
                <w:rFonts w:eastAsia="Times New Roman" w:cs="Calibri"/>
                <w:lang w:eastAsia="pl-PL"/>
              </w:rPr>
              <w:t> </w:t>
            </w:r>
          </w:p>
        </w:tc>
      </w:tr>
    </w:tbl>
    <w:p w:rsidR="00E330BE" w:rsidRDefault="00E330BE">
      <w:pPr>
        <w:spacing w:after="0" w:line="240" w:lineRule="auto"/>
        <w:rPr>
          <w:rFonts w:cs="Calibri"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E330BE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E" w:rsidRDefault="00C4365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Wykaz literatury podstawowej i uzupełniającej, obowiązującej do zaliczenia przedmiotu</w:t>
            </w:r>
          </w:p>
        </w:tc>
      </w:tr>
      <w:tr w:rsidR="00E330BE">
        <w:trPr>
          <w:trHeight w:val="938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E" w:rsidRDefault="00C43650" w:rsidP="00852E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Literatura podstawowa:</w:t>
            </w:r>
          </w:p>
          <w:p w:rsidR="00E330BE" w:rsidRDefault="00C43650" w:rsidP="00852EC1">
            <w:pPr>
              <w:spacing w:after="0" w:line="240" w:lineRule="auto"/>
            </w:pPr>
            <w:r>
              <w:t>Nawara H. (1989) Nauczanie techniki gry w badmintona – wskazówki metodyczne. PZBad, Warszawa</w:t>
            </w:r>
            <w:r w:rsidR="00BC1F39">
              <w:t>.</w:t>
            </w:r>
          </w:p>
          <w:p w:rsidR="00E330BE" w:rsidRDefault="00C43650" w:rsidP="00852EC1">
            <w:pPr>
              <w:spacing w:after="0" w:line="240" w:lineRule="auto"/>
            </w:pPr>
            <w:r>
              <w:t>Nawara H., Nawara U.(1999)Gry i zabawy integracyjne AWF, Wrocław</w:t>
            </w:r>
            <w:r w:rsidR="00BC1F39">
              <w:t>.</w:t>
            </w:r>
          </w:p>
          <w:p w:rsidR="00E330BE" w:rsidRDefault="00C43650" w:rsidP="00852EC1">
            <w:pPr>
              <w:spacing w:after="0" w:line="240" w:lineRule="auto"/>
            </w:pPr>
            <w:r>
              <w:t>Nawara H.(2000) Badminton. AWF, Wrocław</w:t>
            </w:r>
            <w:r w:rsidR="00BC1F39">
              <w:t>.</w:t>
            </w:r>
          </w:p>
          <w:p w:rsidR="00E330BE" w:rsidRDefault="00C43650" w:rsidP="00852EC1">
            <w:pPr>
              <w:spacing w:after="0" w:line="240" w:lineRule="auto"/>
            </w:pPr>
            <w:r>
              <w:t xml:space="preserve">Strony internetowe: </w:t>
            </w:r>
            <w:hyperlink r:id="rId7" w:history="1">
              <w:r>
                <w:rPr>
                  <w:rStyle w:val="Hipercze"/>
                </w:rPr>
                <w:t>https://pzbad.pl/</w:t>
              </w:r>
            </w:hyperlink>
          </w:p>
        </w:tc>
      </w:tr>
      <w:tr w:rsidR="00E330BE">
        <w:trPr>
          <w:trHeight w:val="57"/>
        </w:trPr>
        <w:tc>
          <w:tcPr>
            <w:tcW w:w="10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E" w:rsidRDefault="00C43650" w:rsidP="00852E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Literatura uzupełniająca:</w:t>
            </w:r>
          </w:p>
          <w:p w:rsidR="00E330BE" w:rsidRDefault="00C43650" w:rsidP="00852EC1">
            <w:pPr>
              <w:spacing w:after="0" w:line="240" w:lineRule="auto"/>
            </w:pPr>
            <w:r>
              <w:lastRenderedPageBreak/>
              <w:t>Szalewicz A. 2001. Nauka badmintona w weekend. Wyd. Wiedza i życie S.A, Warszawa</w:t>
            </w:r>
            <w:r w:rsidR="00BC1F39">
              <w:t>.</w:t>
            </w:r>
          </w:p>
          <w:p w:rsidR="00E330BE" w:rsidRDefault="00C43650" w:rsidP="00852EC1">
            <w:pPr>
              <w:spacing w:after="0" w:line="240" w:lineRule="auto"/>
            </w:pPr>
            <w:r>
              <w:t>Jaksik B.(Wołkowycka) 1997. Metodyka nauczania wybranych elementów techniki gry w badmintonie na etapie wstępnym. [praca dyplomowa] Akademia Wychowania Fizycznego</w:t>
            </w:r>
            <w:r w:rsidR="00BC1F39">
              <w:t>.</w:t>
            </w:r>
          </w:p>
          <w:p w:rsidR="00E330BE" w:rsidRDefault="00C43650" w:rsidP="00BC1F39">
            <w:pPr>
              <w:spacing w:after="0" w:line="240" w:lineRule="auto"/>
            </w:pPr>
            <w:r>
              <w:t>Wołkowycka B.</w:t>
            </w:r>
            <w:r>
              <w:rPr>
                <w:b/>
              </w:rPr>
              <w:t xml:space="preserve"> </w:t>
            </w:r>
            <w:r>
              <w:t>2005. Osiągnięcia sportowe juniorek młodszych w badmintonie a wyniki testów specjalnych. W</w:t>
            </w:r>
            <w:r>
              <w:rPr>
                <w:b/>
              </w:rPr>
              <w:t>:</w:t>
            </w:r>
            <w:r>
              <w:t xml:space="preserve"> Efekty Kształcenia i Wychowania w Kulturze Fizycznej</w:t>
            </w:r>
            <w:r w:rsidR="00BC1F39">
              <w:t>.</w:t>
            </w:r>
          </w:p>
        </w:tc>
      </w:tr>
    </w:tbl>
    <w:p w:rsidR="00E330BE" w:rsidRDefault="00E330BE">
      <w:pPr>
        <w:spacing w:after="0" w:line="240" w:lineRule="auto"/>
        <w:rPr>
          <w:rFonts w:cs="Calibri"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E330BE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E" w:rsidRDefault="00C4365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E330BE">
        <w:trPr>
          <w:trHeight w:val="395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0BE" w:rsidRDefault="00C43650">
            <w:pPr>
              <w:spacing w:after="0" w:line="240" w:lineRule="auto"/>
            </w:pPr>
            <w:r>
              <w:rPr>
                <w:rFonts w:cs="Calibri"/>
              </w:rPr>
              <w:t>Nie dotyczy</w:t>
            </w:r>
          </w:p>
        </w:tc>
      </w:tr>
    </w:tbl>
    <w:p w:rsidR="00E330BE" w:rsidRDefault="00E330BE">
      <w:pPr>
        <w:spacing w:after="0" w:line="240" w:lineRule="auto"/>
        <w:rPr>
          <w:rFonts w:cs="Calibri"/>
        </w:rPr>
      </w:pPr>
    </w:p>
    <w:p w:rsidR="00E330BE" w:rsidRDefault="00C4365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Forma oceny efektów uczenia się</w:t>
      </w:r>
    </w:p>
    <w:tbl>
      <w:tblPr>
        <w:tblW w:w="73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9"/>
        <w:gridCol w:w="2372"/>
        <w:gridCol w:w="3249"/>
      </w:tblGrid>
      <w:tr w:rsidR="00E330BE" w:rsidTr="00852EC1">
        <w:trPr>
          <w:trHeight w:val="329"/>
          <w:jc w:val="center"/>
        </w:trPr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Efekty uczenia się </w:t>
            </w:r>
          </w:p>
        </w:tc>
        <w:tc>
          <w:tcPr>
            <w:tcW w:w="5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BE" w:rsidRDefault="00C4365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Forma oceny</w:t>
            </w:r>
          </w:p>
        </w:tc>
      </w:tr>
      <w:tr w:rsidR="00852EC1" w:rsidTr="00852EC1">
        <w:trPr>
          <w:trHeight w:val="760"/>
          <w:jc w:val="center"/>
        </w:trPr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Test sprawdzający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Obserwacja/dyskusja dydaktyczna</w:t>
            </w:r>
          </w:p>
        </w:tc>
      </w:tr>
      <w:tr w:rsidR="00852EC1" w:rsidTr="00852EC1">
        <w:trPr>
          <w:trHeight w:val="397"/>
          <w:jc w:val="center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EC1" w:rsidRDefault="00852EC1">
            <w:pPr>
              <w:spacing w:after="0" w:line="240" w:lineRule="auto"/>
            </w:pPr>
            <w:r>
              <w:rPr>
                <w:rFonts w:ascii="Arial" w:hAnsi="Arial"/>
                <w:shd w:val="clear" w:color="auto" w:fill="FAF9F8"/>
              </w:rPr>
              <w:t>W02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52EC1" w:rsidTr="00852EC1">
        <w:trPr>
          <w:trHeight w:val="397"/>
          <w:jc w:val="center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</w:pPr>
            <w:r>
              <w:rPr>
                <w:rFonts w:cs="Calibri"/>
              </w:rPr>
              <w:t>W06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52EC1" w:rsidTr="00852EC1">
        <w:trPr>
          <w:trHeight w:val="397"/>
          <w:jc w:val="center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</w:pPr>
            <w:r>
              <w:rPr>
                <w:rFonts w:cs="Calibri"/>
              </w:rPr>
              <w:t>W09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52EC1" w:rsidTr="00852EC1">
        <w:trPr>
          <w:trHeight w:val="397"/>
          <w:jc w:val="center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</w:pPr>
            <w:r>
              <w:rPr>
                <w:rFonts w:ascii="Arial" w:hAnsi="Arial"/>
                <w:shd w:val="clear" w:color="auto" w:fill="FAF9F8"/>
              </w:rPr>
              <w:t>U02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X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</w:tr>
      <w:tr w:rsidR="00852EC1" w:rsidTr="00852EC1">
        <w:trPr>
          <w:trHeight w:val="397"/>
          <w:jc w:val="center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</w:pPr>
            <w:r>
              <w:rPr>
                <w:rFonts w:ascii="Arial" w:hAnsi="Arial"/>
                <w:shd w:val="clear" w:color="auto" w:fill="FAF9F8"/>
              </w:rPr>
              <w:t>U05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X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</w:tr>
      <w:tr w:rsidR="00852EC1" w:rsidTr="00852EC1">
        <w:trPr>
          <w:trHeight w:val="397"/>
          <w:jc w:val="center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</w:pPr>
            <w:r>
              <w:rPr>
                <w:rFonts w:ascii="Arial" w:hAnsi="Arial"/>
                <w:shd w:val="clear" w:color="auto" w:fill="FAF9F8"/>
              </w:rPr>
              <w:t>U16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X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EC1" w:rsidRDefault="00852EC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</w:tr>
      <w:tr w:rsidR="00852EC1" w:rsidTr="00852EC1">
        <w:trPr>
          <w:trHeight w:val="397"/>
          <w:jc w:val="center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</w:pPr>
            <w:r>
              <w:rPr>
                <w:rFonts w:ascii="Arial" w:hAnsi="Arial"/>
                <w:shd w:val="clear" w:color="auto" w:fill="FAF9F8"/>
              </w:rPr>
              <w:t>K02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</w:tr>
      <w:tr w:rsidR="00852EC1" w:rsidTr="00852EC1">
        <w:trPr>
          <w:trHeight w:val="397"/>
          <w:jc w:val="center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</w:pPr>
            <w:r>
              <w:rPr>
                <w:rFonts w:ascii="Arial" w:hAnsi="Arial"/>
                <w:shd w:val="clear" w:color="auto" w:fill="FAF9F8"/>
              </w:rPr>
              <w:t>K09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</w:tr>
      <w:tr w:rsidR="00852EC1" w:rsidTr="00852EC1">
        <w:trPr>
          <w:trHeight w:val="397"/>
          <w:jc w:val="center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</w:pPr>
            <w:r>
              <w:rPr>
                <w:rFonts w:ascii="Arial" w:hAnsi="Arial"/>
                <w:shd w:val="clear" w:color="auto" w:fill="FAF9F8"/>
              </w:rPr>
              <w:t>K12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EC1" w:rsidRDefault="00852EC1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3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EC1" w:rsidRDefault="00852EC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</w:tr>
    </w:tbl>
    <w:p w:rsidR="00E330BE" w:rsidRDefault="00E330BE">
      <w:pPr>
        <w:spacing w:after="0" w:line="240" w:lineRule="auto"/>
        <w:rPr>
          <w:rFonts w:eastAsia="Times New Roman" w:cs="Calibri"/>
        </w:rPr>
      </w:pPr>
    </w:p>
    <w:p w:rsidR="00E330BE" w:rsidRDefault="00E330BE">
      <w:pPr>
        <w:spacing w:after="0" w:line="240" w:lineRule="auto"/>
        <w:rPr>
          <w:rFonts w:eastAsia="Times New Roman" w:cs="Calibri"/>
        </w:rPr>
      </w:pPr>
    </w:p>
    <w:sectPr w:rsidR="00E330BE">
      <w:pgSz w:w="11906" w:h="16838"/>
      <w:pgMar w:top="568" w:right="1417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D39" w:rsidRDefault="00A87D39">
      <w:pPr>
        <w:spacing w:after="0" w:line="240" w:lineRule="auto"/>
      </w:pPr>
      <w:r>
        <w:separator/>
      </w:r>
    </w:p>
  </w:endnote>
  <w:endnote w:type="continuationSeparator" w:id="0">
    <w:p w:rsidR="00A87D39" w:rsidRDefault="00A8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D39" w:rsidRDefault="00A87D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87D39" w:rsidRDefault="00A8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7FE4"/>
    <w:multiLevelType w:val="multilevel"/>
    <w:tmpl w:val="27289634"/>
    <w:lvl w:ilvl="0">
      <w:numFmt w:val="bullet"/>
      <w:lvlText w:val="̵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73D60"/>
    <w:multiLevelType w:val="multilevel"/>
    <w:tmpl w:val="7AF68D32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A565F45"/>
    <w:multiLevelType w:val="multilevel"/>
    <w:tmpl w:val="3EC6B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04309"/>
    <w:multiLevelType w:val="multilevel"/>
    <w:tmpl w:val="03FC46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BE"/>
    <w:rsid w:val="00376B95"/>
    <w:rsid w:val="007B0DB4"/>
    <w:rsid w:val="00852EC1"/>
    <w:rsid w:val="00A87D39"/>
    <w:rsid w:val="00BC1F39"/>
    <w:rsid w:val="00C43650"/>
    <w:rsid w:val="00E3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310BD-5F49-4BBC-9160-560FE07E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ormalny"/>
    <w:next w:val="Normalny"/>
    <w:pPr>
      <w:keepNext/>
      <w:keepLines/>
      <w:spacing w:before="40" w:after="0"/>
      <w:outlineLvl w:val="2"/>
    </w:pPr>
    <w:rPr>
      <w:rFonts w:ascii="Calibri Light" w:eastAsia="MS Gothic" w:hAnsi="Calibri Light" w:cs="Times New Roman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rPr>
      <w:color w:val="80808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pPr>
      <w:spacing w:line="240" w:lineRule="auto"/>
    </w:pPr>
    <w:rPr>
      <w:lang w:val="en-US"/>
    </w:rPr>
  </w:style>
  <w:style w:type="character" w:customStyle="1" w:styleId="EndNoteBibliographyZnak">
    <w:name w:val="EndNote Bibliography Znak"/>
    <w:basedOn w:val="Domylnaczcionkaakapitu"/>
    <w:rPr>
      <w:rFonts w:ascii="Calibri" w:hAnsi="Calibri"/>
      <w:lang w:val="en-US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apple-converted-space">
    <w:name w:val="apple-converted-space"/>
    <w:basedOn w:val="Domylnaczcionkaakapitu"/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pPr>
      <w:spacing w:before="13" w:after="13" w:line="240" w:lineRule="auto"/>
      <w:ind w:left="389" w:hanging="195"/>
    </w:pPr>
    <w:rPr>
      <w:rFonts w:ascii="Arial" w:eastAsia="Arial Unicode MS" w:hAnsi="Arial"/>
      <w:color w:val="333333"/>
      <w:sz w:val="16"/>
      <w:szCs w:val="16"/>
      <w:lang w:eastAsia="pl-PL"/>
    </w:rPr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Pr>
      <w:rFonts w:ascii="Calibri Light" w:eastAsia="MS Gothic" w:hAnsi="Calibri Light" w:cs="Times New Roman"/>
      <w:color w:val="1F4D78"/>
      <w:sz w:val="24"/>
      <w:szCs w:val="24"/>
    </w:rPr>
  </w:style>
  <w:style w:type="character" w:customStyle="1" w:styleId="normaltextrun">
    <w:name w:val="normaltextrun"/>
    <w:basedOn w:val="Domylnaczcionkaakapitu"/>
  </w:style>
  <w:style w:type="character" w:customStyle="1" w:styleId="scxw66533080">
    <w:name w:val="scxw66533080"/>
    <w:basedOn w:val="Domylnaczcionkaakapitu"/>
  </w:style>
  <w:style w:type="character" w:customStyle="1" w:styleId="eop">
    <w:name w:val="eop"/>
    <w:basedOn w:val="Domylnaczcionkaakapitu"/>
  </w:style>
  <w:style w:type="paragraph" w:customStyle="1" w:styleId="paragraph">
    <w:name w:val="paragraph"/>
    <w:basedOn w:val="Normalny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zba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awf</cp:lastModifiedBy>
  <cp:revision>4</cp:revision>
  <cp:lastPrinted>2017-05-24T09:12:00Z</cp:lastPrinted>
  <dcterms:created xsi:type="dcterms:W3CDTF">2020-06-30T13:57:00Z</dcterms:created>
  <dcterms:modified xsi:type="dcterms:W3CDTF">2020-07-02T13:45:00Z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0x010100E213D0B04B737D4AB5FE3F7A65A79A77</vt:lpwstr>
  </property>
</Properties>
</file>